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IEF — iShares 7-10Y Treasury ETF (Linear Position)</w:t>
      </w:r>
    </w:p>
    <w:p/>
    <w:p>
      <w:pPr>
        <w:pStyle w:val="Heading2"/>
      </w:pPr>
      <w:r>
        <w:t>Instrument Description</w:t>
      </w:r>
    </w:p>
    <w:p/>
    <w:p>
      <w:r>
        <w:t>Long position in the iShares 7-10 Year Treasury Bond ETF (ticker: IEF), representing US investment-grade fixed income exposure. Priced via daily mark-to-market using log-returns.</w:t>
      </w:r>
    </w:p>
    <w:p/>
    <w:p>
      <w:pPr>
        <w:pStyle w:val="Heading2"/>
      </w:pPr>
      <w:r>
        <w:t>Position Parameters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Parameter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Ticker</w:t>
            </w:r>
          </w:p>
        </w:tc>
        <w:tc>
          <w:tcPr>
            <w:tcW w:type="dxa" w:w="4680"/>
          </w:tcPr>
          <w:p>
            <w:r>
              <w:t>IEF</w:t>
            </w:r>
          </w:p>
        </w:tc>
      </w:tr>
      <w:tr>
        <w:tc>
          <w:tcPr>
            <w:tcW w:type="dxa" w:w="4680"/>
          </w:tcPr>
          <w:p>
            <w:r>
              <w:t>Portfolio weight</w:t>
            </w:r>
          </w:p>
        </w:tc>
        <w:tc>
          <w:tcPr>
            <w:tcW w:type="dxa" w:w="4680"/>
          </w:tcPr>
          <w:p>
            <w:r>
              <w:t>25% (w = 1/4)</w:t>
            </w:r>
          </w:p>
        </w:tc>
      </w:tr>
      <w:tr>
        <w:tc>
          <w:tcPr>
            <w:tcW w:type="dxa" w:w="4680"/>
          </w:tcPr>
          <w:p>
            <w:r>
              <w:t>Notional</w:t>
            </w:r>
          </w:p>
        </w:tc>
        <w:tc>
          <w:tcPr>
            <w:tcW w:type="dxa" w:w="4680"/>
          </w:tcPr>
          <w:p>
            <w:r>
              <w:t>250,000 (= 1,000,000 × ¼)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Yahoo Finance daily close</w:t>
            </w:r>
          </w:p>
        </w:tc>
      </w:tr>
      <w:tr>
        <w:tc>
          <w:tcPr>
            <w:tcW w:type="dxa" w:w="4680"/>
          </w:tcPr>
          <w:p>
            <w:r>
              <w:t>Date range</w:t>
            </w:r>
          </w:p>
        </w:tc>
        <w:tc>
          <w:tcPr>
            <w:tcW w:type="dxa" w:w="4680"/>
          </w:tcPr>
          <w:p>
            <w:r>
              <w:t>2006-01-01 → 2024-12-31</w:t>
            </w:r>
          </w:p>
        </w:tc>
      </w:tr>
      <w:tr>
        <w:tc>
          <w:tcPr>
            <w:tcW w:type="dxa" w:w="4680"/>
          </w:tcPr>
          <w:p>
            <w:r>
              <w:t>Risk Factor</w:t>
            </w:r>
          </w:p>
        </w:tc>
        <w:tc>
          <w:tcPr>
            <w:tcW w:type="dxa" w:w="4680"/>
          </w:tcPr>
          <w:p>
            <w:r>
              <w:t>Symbol</w:t>
            </w:r>
          </w:p>
        </w:tc>
      </w:tr>
      <w:tr>
        <w:tc>
          <w:tcPr>
            <w:tcW w:type="dxa" w:w="4680"/>
          </w:tcPr>
          <w:p>
            <w:r>
              <w:t>IEF log-return</w:t>
            </w:r>
          </w:p>
        </w:tc>
        <w:tc>
          <w:tcPr>
            <w:tcW w:type="dxa" w:w="4680"/>
          </w:tcPr>
          <w:p>
            <w:r>
              <w:t>r_t</w:t>
            </w:r>
          </w:p>
        </w:tc>
      </w:tr>
    </w:tbl>
    <w:p/>
    <w:p>
      <w:pPr>
        <w:pStyle w:val="Heading2"/>
      </w:pPr>
      <w:r>
        <w:t>Pricing Formula</w:t>
      </w:r>
    </w:p>
    <w:p/>
    <w:p>
      <w:r>
        <w:t>Daily P&amp;L under the log-return approximation (Irle Eq. 10):</w:t>
      </w:r>
    </w:p>
    <w:p/>
    <w:p>
      <w:pPr>
        <w:spacing w:before="80" w:after="80"/>
        <w:jc w:val="center"/>
      </w:pPr>
      <w:r>
        <w:rPr>
          <w:i/>
          <w:sz w:val="20"/>
        </w:rPr>
        <w:t>\Delta V_t^{\text{IEF}} = V_0 \cdot w_{\text{IEF}} \cdot r_t^{\text{IEF}}</w:t>
      </w:r>
    </w:p>
    <w:p/>
    <w:p>
      <w:r>
        <w:t>where</w:t>
      </w:r>
    </w:p>
    <w:p/>
    <w:p>
      <w:pPr>
        <w:spacing w:before="80" w:after="80"/>
        <w:jc w:val="center"/>
      </w:pPr>
      <w:r>
        <w:rPr>
          <w:i/>
          <w:sz w:val="20"/>
        </w:rPr>
        <w:t>r_t^{\text{IEF}} = \ln\frac{S_t^{\text{IEF}}}{S_{t-1}^{\text{IEF}}}</w:t>
      </w:r>
    </w:p>
    <w:p/>
    <w:p>
      <w:pPr>
        <w:pStyle w:val="Heading2"/>
      </w:pPr>
      <w:r>
        <w:t>Risk Factors</w:t>
      </w:r>
    </w:p>
    <w:p/>
    <w:p/>
    <w:p>
      <w:pPr>
        <w:pStyle w:val="Heading2"/>
      </w:pPr>
      <w:r>
        <w:t>Assumptions</w:t>
      </w:r>
    </w:p>
    <w:p/>
    <w:p>
      <w:pPr>
        <w:pStyle w:val="ListBullet"/>
      </w:pPr>
      <w:r>
        <w:t>Log-return approximation; no yield curve modelling at the ETF level</w:t>
      </w:r>
    </w:p>
    <w:p>
      <w:pPr>
        <w:pStyle w:val="ListBullet"/>
      </w:pPr>
      <w:r>
        <w:t>Duration risk enters implicitly through IEF price moves</w:t>
      </w:r>
    </w:p>
    <w:p>
      <w:pPr>
        <w:pStyle w:val="ListBullet"/>
      </w:pPr>
      <w:r>
        <w:t>Coupon reinvestment captured via ETF total return pricing</w:t>
      </w:r>
    </w:p>
    <w:p/>
    <w:p>
      <w:pPr>
        <w:pStyle w:val="Heading2"/>
      </w:pPr>
      <w:r>
        <w:t>Code Location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src/data/compute_pnl.py — compute_total_pnl()</w:t>
        <w:br/>
        <w:t>w = pd.Series(weights_aligned)[log_returns.columns].values</w:t>
        <w:br/>
        <w:t>linear_pnl = pd.Series(V0 * log_returns.dot(w), ...)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src/data/config.py</w:t>
        <w:br/>
        <w:t>TICKERS = {"IEF": "iShares 7-10Y Treasury ETF (Bonds)", ...}</w:t>
        <w:br/>
        <w:t>WEIGHTS_DICT = {"IEF": 1/4, ...}</w:t>
      </w:r>
    </w:p>
    <w:p/>
    <w:p>
      <w:pPr>
        <w:pStyle w:val="Heading2"/>
      </w:pPr>
      <w:r>
        <w:t>Example</w:t>
      </w:r>
    </w:p>
    <w:p/>
    <w:p>
      <w:r>
        <w:t>If IEF falls 0.5% on a day when rates rise:</w:t>
      </w:r>
    </w:p>
    <w:p>
      <w:pPr>
        <w:spacing w:before="80" w:after="80"/>
        <w:jc w:val="center"/>
      </w:pPr>
      <w:r>
        <w:rPr>
          <w:i/>
          <w:sz w:val="20"/>
        </w:rPr>
        <w:t>\Delta V = \$1{,}000{,}000 \times 0.25 \times (-0.005) = -\$1{,}250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