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EURUSD — EUR/USD FX Spot Rate (Linear Position)</w:t>
      </w:r>
    </w:p>
    <w:p/>
    <w:p>
      <w:pPr>
        <w:pStyle w:val="Heading2"/>
      </w:pPr>
      <w:r>
        <w:t>Instrument Description</w:t>
      </w:r>
    </w:p>
    <w:p/>
    <w:p>
      <w:r>
        <w:t>Long position in the EUR/USD exchange rate (ticker in Yahoo Finance: EURUSD=X; stored internally as EURUSD). Represents a long-EUR / short-USD exposure. Priced via daily mark-to-market using log-returns.</w:t>
      </w:r>
    </w:p>
    <w:p/>
    <w:p>
      <w:pPr>
        <w:pStyle w:val="Heading2"/>
      </w:pPr>
      <w:r>
        <w:t>Position Parameters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Yahoo ticker</w:t>
            </w:r>
          </w:p>
        </w:tc>
        <w:tc>
          <w:tcPr>
            <w:tcW w:type="dxa" w:w="4680"/>
          </w:tcPr>
          <w:p>
            <w:r>
              <w:t>EURUSD=X</w:t>
            </w:r>
          </w:p>
        </w:tc>
      </w:tr>
      <w:tr>
        <w:tc>
          <w:tcPr>
            <w:tcW w:type="dxa" w:w="4680"/>
          </w:tcPr>
          <w:p>
            <w:r>
              <w:t>Internal column name</w:t>
            </w:r>
          </w:p>
        </w:tc>
        <w:tc>
          <w:tcPr>
            <w:tcW w:type="dxa" w:w="4680"/>
          </w:tcPr>
          <w:p>
            <w:r>
              <w:t>EURUSD</w:t>
            </w:r>
          </w:p>
        </w:tc>
      </w:tr>
      <w:tr>
        <w:tc>
          <w:tcPr>
            <w:tcW w:type="dxa" w:w="4680"/>
          </w:tcPr>
          <w:p>
            <w:r>
              <w:t>Portfolio weight</w:t>
            </w:r>
          </w:p>
        </w:tc>
        <w:tc>
          <w:tcPr>
            <w:tcW w:type="dxa" w:w="4680"/>
          </w:tcPr>
          <w:p>
            <w:r>
              <w:t>25% (w = 1/4)</w:t>
            </w:r>
          </w:p>
        </w:tc>
      </w:tr>
      <w:tr>
        <w:tc>
          <w:tcPr>
            <w:tcW w:type="dxa" w:w="4680"/>
          </w:tcPr>
          <w:p>
            <w:r>
              <w:t>Notional</w:t>
            </w:r>
          </w:p>
        </w:tc>
        <w:tc>
          <w:tcPr>
            <w:tcW w:type="dxa" w:w="4680"/>
          </w:tcPr>
          <w:p>
            <w:r>
              <w:t>250,000 (= 1,000,000 × ¼)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Yahoo Finance daily close</w:t>
            </w:r>
          </w:p>
        </w:tc>
      </w:tr>
      <w:tr>
        <w:tc>
          <w:tcPr>
            <w:tcW w:type="dxa" w:w="4680"/>
          </w:tcPr>
          <w:p>
            <w:r>
              <w:t>Date range</w:t>
            </w:r>
          </w:p>
        </w:tc>
        <w:tc>
          <w:tcPr>
            <w:tcW w:type="dxa" w:w="4680"/>
          </w:tcPr>
          <w:p>
            <w:r>
              <w:t>2006-01-01 → 2024-12-31</w:t>
            </w:r>
          </w:p>
        </w:tc>
      </w:tr>
      <w:tr>
        <w:tc>
          <w:tcPr>
            <w:tcW w:type="dxa" w:w="4680"/>
          </w:tcPr>
          <w:p>
            <w:r>
              <w:t>Risk Factor</w:t>
            </w:r>
          </w:p>
        </w:tc>
        <w:tc>
          <w:tcPr>
            <w:tcW w:type="dxa" w:w="4680"/>
          </w:tcPr>
          <w:p>
            <w:r>
              <w:t>Symbol</w:t>
            </w:r>
          </w:p>
        </w:tc>
      </w:tr>
      <w:tr>
        <w:tc>
          <w:tcPr>
            <w:tcW w:type="dxa" w:w="4680"/>
          </w:tcPr>
          <w:p>
            <w:r>
              <w:t>EURUSD log-return</w:t>
            </w:r>
          </w:p>
        </w:tc>
        <w:tc>
          <w:tcPr>
            <w:tcW w:type="dxa" w:w="4680"/>
          </w:tcPr>
          <w:p>
            <w:r>
              <w:t>r_t</w:t>
            </w:r>
          </w:p>
        </w:tc>
      </w:tr>
    </w:tbl>
    <w:p/>
    <w:p>
      <w:pPr>
        <w:pStyle w:val="Heading2"/>
      </w:pPr>
      <w:r>
        <w:t>Pricing Formula</w:t>
      </w:r>
    </w:p>
    <w:p/>
    <w:p>
      <w:r>
        <w:t>Daily P&amp;L under the log-return approximation (Irle Eq. 10):</w:t>
      </w:r>
    </w:p>
    <w:p/>
    <w:p>
      <w:pPr>
        <w:spacing w:before="80" w:after="80"/>
        <w:jc w:val="center"/>
      </w:pPr>
      <w:r>
        <w:rPr>
          <w:i/>
          <w:sz w:val="20"/>
        </w:rPr>
        <w:t>\Delta V_t^{\text{EURUSD}} = V_0 \cdot w_{\text{EURUSD}} \cdot r_t^{\text{EURUSD}}</w:t>
      </w:r>
    </w:p>
    <w:p/>
    <w:p>
      <w:r>
        <w:t>where</w:t>
      </w:r>
    </w:p>
    <w:p/>
    <w:p>
      <w:pPr>
        <w:spacing w:before="80" w:after="80"/>
        <w:jc w:val="center"/>
      </w:pPr>
      <w:r>
        <w:rPr>
          <w:i/>
          <w:sz w:val="20"/>
        </w:rPr>
        <w:t>r_t^{\text{EURUSD}} = \ln\frac{S_t^{\text{EURUSD}}}{S_{t-1}^{\text{EURUSD}}}</w:t>
      </w:r>
    </w:p>
    <w:p/>
    <w:p>
      <w:pPr>
        <w:pStyle w:val="Heading2"/>
      </w:pPr>
      <w:r>
        <w:t>Risk Factors</w:t>
      </w:r>
    </w:p>
    <w:p/>
    <w:p/>
    <w:p>
      <w:pPr>
        <w:pStyle w:val="Heading2"/>
      </w:pPr>
      <w:r>
        <w:t>Column Rename</w:t>
      </w:r>
    </w:p>
    <w:p/>
    <w:p>
      <w:r>
        <w:t>The Yahoo Finance ticker EURUSD=X is renamed to EURUSD during download to avoid special-character issues in CSV column headers: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src/data/download_data.py</w:t>
        <w:br/>
        <w:t>prices.rename(columns={"EURUSD=X": "EURUSD"}, inplace=True)</w:t>
      </w:r>
    </w:p>
    <w:p/>
    <w:p>
      <w:r>
        <w:t>The WEIGHTS_DICT lookup compensates via: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src/data/compute_pnl.py — compute_total_pnl()</w:t>
        <w:br/>
        <w:t>weights_aligned = {</w:t>
        <w:br/>
        <w:t xml:space="preserve">    ("EURUSD" if k == "EURUSD=X" else k): v</w:t>
        <w:br/>
        <w:t xml:space="preserve">    for k, v in weights_dict.items()</w:t>
        <w:br/>
        <w:t>}</w:t>
      </w:r>
    </w:p>
    <w:p/>
    <w:p>
      <w:pPr>
        <w:pStyle w:val="Heading2"/>
      </w:pPr>
      <w:r>
        <w:t>Assumptions</w:t>
      </w:r>
    </w:p>
    <w:p/>
    <w:p>
      <w:pPr>
        <w:pStyle w:val="ListBullet"/>
      </w:pPr>
      <w:r>
        <w:t>Long EUR position; positive return when EUR appreciates vs USD</w:t>
      </w:r>
    </w:p>
    <w:p>
      <w:pPr>
        <w:pStyle w:val="ListBullet"/>
      </w:pPr>
      <w:r>
        <w:t>No carry (interest rate differential) modelled at portfolio level</w:t>
      </w:r>
    </w:p>
    <w:p>
      <w:pPr>
        <w:pStyle w:val="ListBullet"/>
      </w:pPr>
      <w:r>
        <w:t>No bid/ask spread</w:t>
      </w:r>
    </w:p>
    <w:p/>
    <w:p>
      <w:pPr>
        <w:pStyle w:val="Heading2"/>
      </w:pPr>
      <w:r>
        <w:t>Example</w:t>
      </w:r>
    </w:p>
    <w:p/>
    <w:p>
      <w:r>
        <w:t>If EUR/USD falls 0.3% in a day:</w:t>
      </w:r>
    </w:p>
    <w:p>
      <w:pPr>
        <w:spacing w:before="80" w:after="80"/>
        <w:jc w:val="center"/>
      </w:pPr>
      <w:r>
        <w:rPr>
          <w:i/>
          <w:sz w:val="20"/>
        </w:rPr>
        <w:t>\Delta V = \$1{,}000{,}000 \times 0.25 \times (-0.003) = -\$750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