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720" w:right="1440" w:bottom="720" w:left="1440" w:header="720" w:footer="72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7200"/>
        <w:tblInd w:w="2880" w:type="dxa"/>
        <w:tblBorders/>
      </w:tblPr>
      <w:tblGrid>
        <w:gridCol w:w="7200"/>
      </w:tblGrid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rPr>
                <w:sz w:val="20"/>
                <w:szCs w:val="20"/>
              </w:rPr>
              <w:t xml:space="preserve">Table 1.1 Demographics</w:t>
            </w:r>
          </w:p>
        </w:tc>
      </w:tr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rPr>
                <w:sz w:val="20"/>
                <w:szCs w:val="20"/>
              </w:rPr>
              <w:t xml:space="preserve">Randomised Population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tbl>
      <w:tblPr>
        <w:tblInd w:w="2880" w:type="dxa"/>
        <w:tblStyle w:val="TableGrid"/>
        <w:tblW w:w="7200" w:type="dxa"/>
        <w:tblBorders>
          <w:top w:val="single" w:sz="4" w:space="0" w:color="auto"/>
        </w:tblBorders>
        <w:tblCellMar>
          <w:left w:w="32" w:type="dxa"/>
          <w:right w:w="32" w:type="dxa"/>
        </w:tblCellMar>
      </w:tblPr>
      <w:tblGrid>
        <w:gridCol w:w="1800"/>
        <w:gridCol w:w="1800"/>
        <w:gridCol w:w="1800"/>
        <w:gridCol w:w="1800"/>
      </w:tblGrid>
      <w:tr>
        <w:tc>
          <w:tcPr>
            <w:gridSpan w:val="1"/>
            <w:tcBorders>
              <w:top w:val="single" w:sz="4" w:space="0" w:color="auto"/>
            </w:tcBorders>
            <w:vAlign w:val="bottom"/>
            <w:tcW w:w="1800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1"/>
            <w:tcBorders>
              <w:top w:val="single" w:sz="4" w:space="0" w:color="auto"/>
            </w:tcBorders>
            <w:vAlign w:val="bottom"/>
            <w:tcW w:w="1800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  <w:tcW w:w="3600" w:type="dxa"/>
          </w:tcPr>
          <w:p>
            <w:pPr>
              <w:jc w:val="center"/>
              <w:spacing w:after="0"/>
            </w:pPr>
            <w:r>
              <w:t xml:space="preserve">Treatmentsᵃ</w:t>
            </w:r>
          </w:p>
        </w:tc>
      </w:tr>
      <w:tr>
        <w:trPr>
          <w:trHeight w:hRule="exact" w:val="513"/>
        </w:trPr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Treament A</w:t>
            </w:r>
          </w:p>
          <w:p>
            <w:pPr>
              <w:jc w:val="center"/>
              <w:spacing w:after="0"/>
            </w:pPr>
            <w:r>
              <w:t xml:space="preserve">(N=19)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Treament B</w:t>
            </w:r>
          </w:p>
          <w:p>
            <w:pPr>
              <w:jc w:val="center"/>
              <w:spacing w:after="0"/>
            </w:pPr>
            <w:r>
              <w:t xml:space="preserve">(N=13)</w:t>
            </w:r>
          </w:p>
        </w:tc>
      </w:tr>
      <w:tr>
        <w:trPr>
          <w:trHeight w:hRule="exact" w:val="256"/>
        </w:trPr>
        <w:tc>
          <w:tcPr>
            <w:gridSpan w:val="4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Age (yrs)</w:t>
            </w:r>
          </w:p>
        </w:tc>
        <w:tc>
          <w:p>
            <w:pPr>
              <w:jc w:val="left"/>
              <w:spacing w:after="0"/>
            </w:pPr>
            <w:r>
              <w:t xml:space="preserve">n</w:t>
            </w:r>
          </w:p>
        </w:tc>
        <w:tc>
          <w:p>
            <w:pPr>
              <w:jc w:val="center"/>
              <w:spacing w:after="0"/>
            </w:pPr>
            <w:r>
              <w:t xml:space="preserve">19</w:t>
            </w:r>
          </w:p>
        </w:tc>
        <w:tc>
          <w:p>
            <w:pPr>
              <w:jc w:val="center"/>
              <w:spacing w:after="0"/>
            </w:pPr>
            <w:r>
              <w:t xml:space="preserve">13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Mean</w:t>
            </w:r>
          </w:p>
        </w:tc>
        <w:tc>
          <w:p>
            <w:pPr>
              <w:jc w:val="center"/>
              <w:spacing w:after="0"/>
            </w:pPr>
            <w:r>
              <w:t xml:space="preserve">18.8 (6.5)</w:t>
            </w:r>
          </w:p>
        </w:tc>
        <w:tc>
          <w:p>
            <w:pPr>
              <w:jc w:val="center"/>
              <w:spacing w:after="0"/>
            </w:pPr>
            <w:r>
              <w:t xml:space="preserve">22.0 (4.9)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Median</w:t>
            </w:r>
          </w:p>
        </w:tc>
        <w:tc>
          <w:p>
            <w:pPr>
              <w:jc w:val="center"/>
              <w:spacing w:after="0"/>
            </w:pPr>
            <w:r>
              <w:t xml:space="preserve">16.4</w:t>
            </w:r>
          </w:p>
        </w:tc>
        <w:tc>
          <w:p>
            <w:pPr>
              <w:jc w:val="center"/>
              <w:spacing w:after="0"/>
            </w:pPr>
            <w:r>
              <w:t xml:space="preserve">21.4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Q1 - Q3</w:t>
            </w:r>
          </w:p>
        </w:tc>
        <w:tc>
          <w:p>
            <w:pPr>
              <w:jc w:val="center"/>
              <w:spacing w:after="0"/>
            </w:pPr>
            <w:r>
              <w:t xml:space="preserve">15.1 - 21.2</w:t>
            </w:r>
          </w:p>
        </w:tc>
        <w:tc>
          <w:p>
            <w:pPr>
              <w:jc w:val="center"/>
              <w:spacing w:after="0"/>
            </w:pPr>
            <w:r>
              <w:t xml:space="preserve">19.2 - 22.8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center"/>
              <w:spacing w:after="0"/>
            </w:pPr>
            <w:r>
              <w:t xml:space="preserve">10 ( 52.6%)</w:t>
            </w:r>
          </w:p>
        </w:tc>
        <w:tc>
          <w:p>
            <w:pPr>
              <w:jc w:val="center"/>
              <w:spacing w:after="0"/>
            </w:pPr>
            <w:r>
              <w:t xml:space="preserve">4 ( 30.8%)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Black</w:t>
            </w:r>
          </w:p>
        </w:tc>
        <w:tc>
          <w:p>
            <w:pPr>
              <w:jc w:val="center"/>
              <w:spacing w:after="0"/>
            </w:pPr>
            <w:r>
              <w:t xml:space="preserve">4 ( 21.1%)</w:t>
            </w:r>
          </w:p>
        </w:tc>
        <w:tc>
          <w:p>
            <w:pPr>
              <w:jc w:val="center"/>
              <w:spacing w:after="0"/>
            </w:pPr>
            <w:r>
              <w:t xml:space="preserve">3 ( 23.1%)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Othersᵇ</w:t>
            </w:r>
          </w:p>
        </w:tc>
        <w:tc>
          <w:p>
            <w:pPr>
              <w:jc w:val="center"/>
              <w:spacing w:after="0"/>
            </w:pPr>
            <w:r>
              <w:t xml:space="preserve">5 ( 26.3%)</w:t>
            </w:r>
          </w:p>
        </w:tc>
        <w:tc>
          <w:p>
            <w:pPr>
              <w:jc w:val="center"/>
              <w:spacing w:after="0"/>
            </w:pPr>
            <w:r>
              <w:t xml:space="preserve">6 ( 46.2%)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Age (yrs)</w:t>
            </w:r>
          </w:p>
        </w:tc>
        <w:tc>
          <w:p>
            <w:pPr>
              <w:jc w:val="left"/>
              <w:spacing w:after="0"/>
            </w:pPr>
            <w:r>
              <w:t xml:space="preserve">n</w:t>
            </w:r>
          </w:p>
        </w:tc>
        <w:tc>
          <w:p>
            <w:pPr>
              <w:jc w:val="center"/>
              <w:spacing w:after="0"/>
            </w:pPr>
            <w:r>
              <w:t xml:space="preserve">19</w:t>
            </w:r>
          </w:p>
        </w:tc>
        <w:tc>
          <w:p>
            <w:pPr>
              <w:jc w:val="center"/>
              <w:spacing w:after="0"/>
            </w:pPr>
            <w:r>
              <w:t xml:space="preserve">13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Mean</w:t>
            </w:r>
          </w:p>
        </w:tc>
        <w:tc>
          <w:p>
            <w:pPr>
              <w:jc w:val="center"/>
              <w:spacing w:after="0"/>
            </w:pPr>
            <w:r>
              <w:t xml:space="preserve">18.8 (6.5)</w:t>
            </w:r>
          </w:p>
        </w:tc>
        <w:tc>
          <w:p>
            <w:pPr>
              <w:jc w:val="center"/>
              <w:spacing w:after="0"/>
            </w:pPr>
            <w:r>
              <w:t xml:space="preserve">22.0 (4.9)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Median</w:t>
            </w:r>
          </w:p>
        </w:tc>
        <w:tc>
          <w:p>
            <w:pPr>
              <w:jc w:val="center"/>
              <w:spacing w:after="0"/>
            </w:pPr>
            <w:r>
              <w:t xml:space="preserve">16.4</w:t>
            </w:r>
          </w:p>
        </w:tc>
        <w:tc>
          <w:p>
            <w:pPr>
              <w:jc w:val="center"/>
              <w:spacing w:after="0"/>
            </w:pPr>
            <w:r>
              <w:t xml:space="preserve">21.4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Q1 - Q3</w:t>
            </w:r>
          </w:p>
        </w:tc>
        <w:tc>
          <w:p>
            <w:pPr>
              <w:jc w:val="center"/>
              <w:spacing w:after="0"/>
            </w:pPr>
            <w:r>
              <w:t xml:space="preserve">15.1 - 21.2</w:t>
            </w:r>
          </w:p>
        </w:tc>
        <w:tc>
          <w:p>
            <w:pPr>
              <w:jc w:val="center"/>
              <w:spacing w:after="0"/>
            </w:pPr>
            <w:r>
              <w:t xml:space="preserve">19.2 - 22.8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center"/>
              <w:spacing w:after="0"/>
            </w:pPr>
            <w:r>
              <w:t xml:space="preserve">10 ( 52.6%)</w:t>
            </w:r>
          </w:p>
        </w:tc>
        <w:tc>
          <w:p>
            <w:pPr>
              <w:jc w:val="center"/>
              <w:spacing w:after="0"/>
            </w:pPr>
            <w:r>
              <w:t xml:space="preserve">4 ( 30.8%)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Black</w:t>
            </w:r>
          </w:p>
        </w:tc>
        <w:tc>
          <w:p>
            <w:pPr>
              <w:jc w:val="center"/>
              <w:spacing w:after="0"/>
            </w:pPr>
            <w:r>
              <w:t xml:space="preserve">4 ( 21.1%)</w:t>
            </w:r>
          </w:p>
        </w:tc>
        <w:tc>
          <w:p>
            <w:pPr>
              <w:jc w:val="center"/>
              <w:spacing w:after="0"/>
            </w:pPr>
            <w:r>
              <w:t xml:space="preserve">3 ( 23.1%)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Othersᵇ</w:t>
            </w:r>
          </w:p>
        </w:tc>
        <w:tc>
          <w:p>
            <w:pPr>
              <w:jc w:val="center"/>
              <w:spacing w:after="0"/>
            </w:pPr>
            <w:r>
              <w:t xml:space="preserve">5 ( 26.3%)</w:t>
            </w:r>
          </w:p>
        </w:tc>
        <w:tc>
          <w:p>
            <w:pPr>
              <w:jc w:val="center"/>
              <w:spacing w:after="0"/>
            </w:pPr>
            <w:r>
              <w:t xml:space="preserve">6 ( 46.2%)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Age (yrs)</w:t>
            </w:r>
          </w:p>
        </w:tc>
        <w:tc>
          <w:p>
            <w:pPr>
              <w:jc w:val="left"/>
              <w:spacing w:after="0"/>
            </w:pPr>
            <w:r>
              <w:t xml:space="preserve">n</w:t>
            </w:r>
          </w:p>
        </w:tc>
        <w:tc>
          <w:p>
            <w:pPr>
              <w:jc w:val="center"/>
              <w:spacing w:after="0"/>
            </w:pPr>
            <w:r>
              <w:t xml:space="preserve">19</w:t>
            </w:r>
          </w:p>
        </w:tc>
        <w:tc>
          <w:p>
            <w:pPr>
              <w:jc w:val="center"/>
              <w:spacing w:after="0"/>
            </w:pPr>
            <w:r>
              <w:t xml:space="preserve">13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Mean</w:t>
            </w:r>
          </w:p>
        </w:tc>
        <w:tc>
          <w:p>
            <w:pPr>
              <w:jc w:val="center"/>
              <w:spacing w:after="0"/>
            </w:pPr>
            <w:r>
              <w:t xml:space="preserve">18.8 (6.5)</w:t>
            </w:r>
          </w:p>
        </w:tc>
        <w:tc>
          <w:p>
            <w:pPr>
              <w:jc w:val="center"/>
              <w:spacing w:after="0"/>
            </w:pPr>
            <w:r>
              <w:t xml:space="preserve">22.0 (4.9)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Median</w:t>
            </w:r>
          </w:p>
        </w:tc>
        <w:tc>
          <w:p>
            <w:pPr>
              <w:jc w:val="center"/>
              <w:spacing w:after="0"/>
            </w:pPr>
            <w:r>
              <w:t xml:space="preserve">16.4</w:t>
            </w:r>
          </w:p>
        </w:tc>
        <w:tc>
          <w:p>
            <w:pPr>
              <w:jc w:val="center"/>
              <w:spacing w:after="0"/>
            </w:pPr>
            <w:r>
              <w:t xml:space="preserve">21.4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Q1 - Q3</w:t>
            </w:r>
          </w:p>
        </w:tc>
        <w:tc>
          <w:p>
            <w:pPr>
              <w:jc w:val="center"/>
              <w:spacing w:after="0"/>
            </w:pPr>
            <w:r>
              <w:t xml:space="preserve">15.1 - 21.2</w:t>
            </w:r>
          </w:p>
        </w:tc>
        <w:tc>
          <w:p>
            <w:pPr>
              <w:jc w:val="center"/>
              <w:spacing w:after="0"/>
            </w:pPr>
            <w:r>
              <w:t xml:space="preserve">19.2 - 22.8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center"/>
              <w:spacing w:after="0"/>
            </w:pPr>
            <w:r>
              <w:t xml:space="preserve">10 ( 52.6%)</w:t>
            </w:r>
          </w:p>
        </w:tc>
        <w:tc>
          <w:p>
            <w:pPr>
              <w:jc w:val="center"/>
              <w:spacing w:after="0"/>
            </w:pPr>
            <w:r>
              <w:t xml:space="preserve">4 ( 30.8%)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Black</w:t>
            </w:r>
          </w:p>
        </w:tc>
        <w:tc>
          <w:p>
            <w:pPr>
              <w:jc w:val="center"/>
              <w:spacing w:after="0"/>
            </w:pPr>
            <w:r>
              <w:t xml:space="preserve">4 ( 21.1%)</w:t>
            </w:r>
          </w:p>
        </w:tc>
        <w:tc>
          <w:p>
            <w:pPr>
              <w:jc w:val="center"/>
              <w:spacing w:after="0"/>
            </w:pPr>
            <w:r>
              <w:t xml:space="preserve">3 ( 23.1%)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Othersᵇ</w:t>
            </w:r>
          </w:p>
        </w:tc>
        <w:tc>
          <w:p>
            <w:pPr>
              <w:jc w:val="center"/>
              <w:spacing w:after="0"/>
            </w:pPr>
            <w:r>
              <w:t xml:space="preserve">5 ( 26.3%)</w:t>
            </w:r>
          </w:p>
        </w:tc>
        <w:tc>
          <w:p>
            <w:pPr>
              <w:jc w:val="center"/>
              <w:spacing w:after="0"/>
            </w:pPr>
            <w:r>
              <w:t xml:space="preserve">6 ( 46.2%)</w:t>
            </w:r>
          </w:p>
        </w:tc>
      </w:tr>
    </w:tbl>
    <w:tbl>
      <w:tblPr>
        <w:tblCellMar>
          <w:left w:w="32" w:type="dxa"/>
          <w:right w:w="32" w:type="dxa"/>
        </w:tblCellMar>
        <w:tblW w:w="7202"/>
        <w:tblInd w:w="2879" w:type="dxa"/>
        <w:tblBorders>
          <w:top w:val="single" w:sz="4" w:space="0" w:color="auto"/>
        </w:tblBorders>
      </w:tblPr>
      <w:tblGrid>
        <w:gridCol w:w="7202"/>
      </w:tblGrid>
      <w:tr>
        <w:trPr>
          <w:trHeight w:hRule="exact" w:val="256"/>
        </w:trPr>
        <w:tc>
          <w:p>
            <w:pPr>
              <w:jc w:val="right"/>
              <w:spacing w:after="0"/>
            </w:pPr>
            <w:r>
              <w:t xml:space="preserve">Page </w:t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/>
            </w:r>
          </w:p>
        </w:tc>
      </w:tr>
    </w:tbl>
    <w:tbl>
      <w:tblPr>
        <w:tblCellMar>
          <w:left w:w="32" w:type="dxa"/>
          <w:right w:w="32" w:type="dxa"/>
        </w:tblCellMar>
        <w:tblW w:w="7202"/>
        <w:tblInd w:w="2879" w:type="dxa"/>
        <w:tblBorders>
          <w:top w:val="single" w:sz="4" w:space="0" w:color="auto"/>
        </w:tblBorders>
      </w:tblPr>
      <w:tblGrid>
        <w:gridCol w:w="7202"/>
      </w:tblGrid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ᵃ study drug treatments</w:t>
            </w:r>
          </w:p>
        </w:tc>
      </w:tr>
    </w:tbl>
    <w:tbl>
      <w:tblPr>
        <w:tblCellMar>
          <w:left w:w="32" w:type="dxa"/>
          <w:right w:w="32" w:type="dxa"/>
        </w:tblCellMar>
        <w:tblW w:w="7202"/>
        <w:tblInd w:w="2879" w:type="dxa"/>
        <w:tblBorders>
          <w:bottom w:val="single" w:sz="4" w:space="0" w:color="auto"/>
        </w:tblBorders>
      </w:tblPr>
      <w:tblGrid>
        <w:gridCol w:w="7202"/>
      </w:tblGrid>
      <w:tr>
        <w:trPr>
          <w:trHeight w:hRule="exact" w:val="256"/>
        </w:trPr>
        <w:tc>
          <w:tcPr/>
          <w:p>
            <w:pPr>
              <w:jc w:val="left"/>
              <w:spacing w:after="0"/>
            </w:pPr>
            <w:r>
              <w:t xml:space="preserve">ᵇ Asian, Japanese and Chinese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Program: C:/Users/Home/AppData/Local/Temp/tdemo.R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6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Date: 2022-07-22 09:18:07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6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Protocol: 9999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 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2022-07-22T09:18:08Z</dcterms:created>
  <dcterms:modified xsi:type="dcterms:W3CDTF">2022-07-22T09:18:08Z</dcterms:modified>
</cp:coreProperties>
</file>