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资料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u w:val="none"/>
          <w:lang w:val="en-US" w:eastAsia="zh-CN"/>
        </w:rPr>
        <w:t>http://webpackdoc.com/usage.html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color w:val="auto"/>
          <w:u w:val="none"/>
          <w:lang w:val="en-US" w:eastAsia="zh-CN"/>
        </w:rPr>
        <w:t xml:space="preserve">  确定已经有 package.json，没有就通过 npm init 创建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2.原理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文件（模块）打包到 bundle.js 。Webpack 给每个模块配一个 id 并通过这个 id 索引和访问模块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在页面启动时，会先执行 entry.js 中的代码，其它模块会在运行 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7F7F7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 的时候再执行。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（1)项目目录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安装loader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npm install css-loader style-loader --save-dev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（2）安装后引入CSS方式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require("!style!css!./style.css")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(3)指定类型后的引入方式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webpack entry.js bundle.js --module-bind "css=style!css"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（4）引入方式最终简化版，最后直接执行webpack即可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    webpack.config.js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4.监听模式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直接全局安装： npm install webpack-dev-server -g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不能局部安装。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B4E7"/>
    <w:multiLevelType w:val="singleLevel"/>
    <w:tmpl w:val="584FB4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5752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2017-03-18T02:49:50Z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