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0C20E" w14:textId="10FB4F7A" w:rsidR="001151CE" w:rsidRPr="004C1516" w:rsidRDefault="00B97163" w:rsidP="00A2620D">
      <w:pPr>
        <w:pStyle w:val="Heading1"/>
      </w:pPr>
      <w:r>
        <w:t>Segmentation analysis</w:t>
      </w:r>
    </w:p>
    <w:p w14:paraId="43317D56" w14:textId="710CB58E" w:rsidR="001151CE" w:rsidRDefault="00B97163" w:rsidP="00297C22">
      <w:pPr>
        <w:pStyle w:val="Heading2"/>
      </w:pPr>
      <w:r>
        <w:t>Current segmentation</w:t>
      </w:r>
      <w:r>
        <w:rPr>
          <w:rStyle w:val="FootnoteReference"/>
        </w:rPr>
        <w:footnoteReference w:id="1"/>
      </w:r>
    </w:p>
    <w:p w14:paraId="5E0ED926" w14:textId="77777777" w:rsidR="00EB2D02" w:rsidRDefault="00EB2D02" w:rsidP="00B97163">
      <w:pPr>
        <w:rPr>
          <w:u w:val="single"/>
        </w:rPr>
      </w:pPr>
    </w:p>
    <w:p w14:paraId="209BE2DA" w14:textId="48CB4B3C" w:rsidR="00B97163" w:rsidRPr="00674815" w:rsidRDefault="00B97163" w:rsidP="00B97163">
      <w:pPr>
        <w:rPr>
          <w:u w:val="single"/>
        </w:rPr>
      </w:pPr>
      <w:r w:rsidRPr="00674815">
        <w:rPr>
          <w:u w:val="single"/>
        </w:rPr>
        <w:t>Segmentation for Utilization Rate</w:t>
      </w:r>
    </w:p>
    <w:p w14:paraId="75487B41" w14:textId="77777777" w:rsidR="00B97163" w:rsidRDefault="00B97163" w:rsidP="00B97163"/>
    <w:p w14:paraId="78AD69F7" w14:textId="103F3F6F" w:rsidR="00B97163" w:rsidRDefault="00B97163" w:rsidP="00B97163">
      <w:r>
        <w:t>The funded balance and total commitment</w:t>
      </w:r>
      <w:r w:rsidR="00674815">
        <w:t xml:space="preserve"> for utilization rate as of 5/31</w:t>
      </w:r>
      <w:r w:rsidR="00EB2D02">
        <w:t>/2018 are</w:t>
      </w:r>
      <w:r>
        <w:t xml:space="preserve"> shown below.</w:t>
      </w:r>
      <w:r w:rsidR="00390F23">
        <w:t xml:space="preserve"> Utilization is calculated by current balance divided by the total commitment.</w:t>
      </w:r>
    </w:p>
    <w:p w14:paraId="6EC9A4FC" w14:textId="77777777" w:rsidR="00B97163" w:rsidRDefault="00B97163" w:rsidP="00B97163"/>
    <w:tbl>
      <w:tblPr>
        <w:tblStyle w:val="TableGrid"/>
        <w:tblW w:w="9819" w:type="dxa"/>
        <w:jc w:val="center"/>
        <w:tblLayout w:type="fixed"/>
        <w:tblLook w:val="04A0" w:firstRow="1" w:lastRow="0" w:firstColumn="1" w:lastColumn="0" w:noHBand="0" w:noVBand="1"/>
      </w:tblPr>
      <w:tblGrid>
        <w:gridCol w:w="1188"/>
        <w:gridCol w:w="3092"/>
        <w:gridCol w:w="1890"/>
        <w:gridCol w:w="1980"/>
        <w:gridCol w:w="1669"/>
      </w:tblGrid>
      <w:tr w:rsidR="008D4F5D" w14:paraId="609F0F28" w14:textId="6C692300" w:rsidTr="00620436">
        <w:trPr>
          <w:jc w:val="center"/>
        </w:trPr>
        <w:tc>
          <w:tcPr>
            <w:tcW w:w="1188" w:type="dxa"/>
            <w:tcBorders>
              <w:bottom w:val="single" w:sz="4" w:space="0" w:color="auto"/>
            </w:tcBorders>
          </w:tcPr>
          <w:p w14:paraId="687D14C8" w14:textId="5F1CFA3E" w:rsidR="008D4F5D" w:rsidRPr="003B0F09" w:rsidRDefault="008D4F5D" w:rsidP="00B97163">
            <w:pPr>
              <w:rPr>
                <w:sz w:val="22"/>
                <w:szCs w:val="22"/>
              </w:rPr>
            </w:pPr>
            <w:r w:rsidRPr="003B0F09">
              <w:rPr>
                <w:sz w:val="22"/>
                <w:szCs w:val="22"/>
              </w:rPr>
              <w:t>Segment</w:t>
            </w:r>
          </w:p>
        </w:tc>
        <w:tc>
          <w:tcPr>
            <w:tcW w:w="3092" w:type="dxa"/>
            <w:tcBorders>
              <w:bottom w:val="single" w:sz="4" w:space="0" w:color="auto"/>
            </w:tcBorders>
          </w:tcPr>
          <w:p w14:paraId="219322A3" w14:textId="66EB2DE9" w:rsidR="008D4F5D" w:rsidRPr="003B0F09" w:rsidRDefault="008D4F5D" w:rsidP="00B97163">
            <w:pPr>
              <w:rPr>
                <w:sz w:val="22"/>
                <w:szCs w:val="22"/>
              </w:rPr>
            </w:pPr>
            <w:r w:rsidRPr="003B0F09">
              <w:rPr>
                <w:sz w:val="22"/>
                <w:szCs w:val="22"/>
              </w:rPr>
              <w:t>Lines of Business</w:t>
            </w:r>
          </w:p>
        </w:tc>
        <w:tc>
          <w:tcPr>
            <w:tcW w:w="1890" w:type="dxa"/>
            <w:tcBorders>
              <w:bottom w:val="single" w:sz="4" w:space="0" w:color="auto"/>
            </w:tcBorders>
          </w:tcPr>
          <w:p w14:paraId="24A482DC" w14:textId="05D37213" w:rsidR="008D4F5D" w:rsidRPr="003B0F09" w:rsidRDefault="008D4F5D" w:rsidP="00B97163">
            <w:pPr>
              <w:rPr>
                <w:sz w:val="22"/>
                <w:szCs w:val="22"/>
              </w:rPr>
            </w:pPr>
            <w:r w:rsidRPr="003B0F09">
              <w:rPr>
                <w:sz w:val="22"/>
                <w:szCs w:val="22"/>
              </w:rPr>
              <w:t>Funded Balance</w:t>
            </w:r>
          </w:p>
        </w:tc>
        <w:tc>
          <w:tcPr>
            <w:tcW w:w="1980" w:type="dxa"/>
            <w:tcBorders>
              <w:bottom w:val="single" w:sz="4" w:space="0" w:color="auto"/>
            </w:tcBorders>
          </w:tcPr>
          <w:p w14:paraId="563CFBE0" w14:textId="1BCC05BE" w:rsidR="008D4F5D" w:rsidRPr="003B0F09" w:rsidRDefault="008D4F5D" w:rsidP="00B97163">
            <w:pPr>
              <w:rPr>
                <w:sz w:val="22"/>
                <w:szCs w:val="22"/>
              </w:rPr>
            </w:pPr>
            <w:r w:rsidRPr="003B0F09">
              <w:rPr>
                <w:sz w:val="22"/>
                <w:szCs w:val="22"/>
              </w:rPr>
              <w:t>Total Commitment</w:t>
            </w:r>
          </w:p>
        </w:tc>
        <w:tc>
          <w:tcPr>
            <w:tcW w:w="1669" w:type="dxa"/>
            <w:tcBorders>
              <w:bottom w:val="single" w:sz="4" w:space="0" w:color="auto"/>
            </w:tcBorders>
          </w:tcPr>
          <w:p w14:paraId="1870A2D3" w14:textId="657148DF" w:rsidR="008D4F5D" w:rsidRPr="003B0F09" w:rsidRDefault="008D4F5D" w:rsidP="00390F23">
            <w:pPr>
              <w:rPr>
                <w:sz w:val="22"/>
                <w:szCs w:val="22"/>
              </w:rPr>
            </w:pPr>
            <w:r w:rsidRPr="003B0F09">
              <w:rPr>
                <w:sz w:val="22"/>
                <w:szCs w:val="22"/>
              </w:rPr>
              <w:t xml:space="preserve">Utilization </w:t>
            </w:r>
            <w:r w:rsidR="00674815" w:rsidRPr="003B0F09">
              <w:rPr>
                <w:sz w:val="22"/>
                <w:szCs w:val="22"/>
              </w:rPr>
              <w:t>(%)</w:t>
            </w:r>
          </w:p>
        </w:tc>
      </w:tr>
      <w:tr w:rsidR="00674815" w14:paraId="7B9EA7D3" w14:textId="34233AD1" w:rsidTr="00620436">
        <w:trPr>
          <w:jc w:val="center"/>
        </w:trPr>
        <w:tc>
          <w:tcPr>
            <w:tcW w:w="1188" w:type="dxa"/>
            <w:tcBorders>
              <w:bottom w:val="nil"/>
            </w:tcBorders>
          </w:tcPr>
          <w:p w14:paraId="5115637F" w14:textId="0F3A7DB6" w:rsidR="00674815" w:rsidRPr="003B0F09" w:rsidRDefault="00674815" w:rsidP="00B97163">
            <w:pPr>
              <w:rPr>
                <w:sz w:val="22"/>
                <w:szCs w:val="22"/>
              </w:rPr>
            </w:pPr>
            <w:r w:rsidRPr="003B0F09">
              <w:rPr>
                <w:sz w:val="22"/>
                <w:szCs w:val="22"/>
              </w:rPr>
              <w:t>1</w:t>
            </w:r>
          </w:p>
        </w:tc>
        <w:tc>
          <w:tcPr>
            <w:tcW w:w="3092" w:type="dxa"/>
            <w:tcBorders>
              <w:bottom w:val="nil"/>
            </w:tcBorders>
          </w:tcPr>
          <w:p w14:paraId="3C96E38B" w14:textId="4036B15B" w:rsidR="00674815" w:rsidRPr="003B0F09" w:rsidRDefault="00674815" w:rsidP="00B97163">
            <w:pPr>
              <w:rPr>
                <w:sz w:val="22"/>
                <w:szCs w:val="22"/>
              </w:rPr>
            </w:pPr>
            <w:r w:rsidRPr="003B0F09">
              <w:rPr>
                <w:sz w:val="22"/>
                <w:szCs w:val="22"/>
              </w:rPr>
              <w:t>Floor Plan</w:t>
            </w:r>
          </w:p>
        </w:tc>
        <w:tc>
          <w:tcPr>
            <w:tcW w:w="1890" w:type="dxa"/>
            <w:tcBorders>
              <w:bottom w:val="nil"/>
            </w:tcBorders>
            <w:vAlign w:val="center"/>
          </w:tcPr>
          <w:p w14:paraId="03A40E43" w14:textId="4AA04FE5" w:rsidR="00674815" w:rsidRPr="003B0F09" w:rsidRDefault="00674815" w:rsidP="00620436">
            <w:pPr>
              <w:jc w:val="right"/>
              <w:rPr>
                <w:sz w:val="22"/>
                <w:szCs w:val="22"/>
              </w:rPr>
            </w:pPr>
            <w:r w:rsidRPr="003B0F09">
              <w:rPr>
                <w:color w:val="000000"/>
                <w:sz w:val="22"/>
                <w:szCs w:val="22"/>
              </w:rPr>
              <w:t xml:space="preserve"> 3,394,101,639 </w:t>
            </w:r>
          </w:p>
        </w:tc>
        <w:tc>
          <w:tcPr>
            <w:tcW w:w="1980" w:type="dxa"/>
            <w:tcBorders>
              <w:bottom w:val="nil"/>
            </w:tcBorders>
            <w:vAlign w:val="center"/>
          </w:tcPr>
          <w:p w14:paraId="47C3CDBF" w14:textId="5A8D8BB5" w:rsidR="00674815" w:rsidRPr="003B0F09" w:rsidRDefault="00674815" w:rsidP="00620436">
            <w:pPr>
              <w:jc w:val="right"/>
              <w:rPr>
                <w:sz w:val="22"/>
                <w:szCs w:val="22"/>
              </w:rPr>
            </w:pPr>
            <w:r w:rsidRPr="003B0F09">
              <w:rPr>
                <w:color w:val="000000"/>
                <w:sz w:val="22"/>
                <w:szCs w:val="22"/>
              </w:rPr>
              <w:t xml:space="preserve">4,927,388,636 </w:t>
            </w:r>
          </w:p>
        </w:tc>
        <w:tc>
          <w:tcPr>
            <w:tcW w:w="1669" w:type="dxa"/>
            <w:tcBorders>
              <w:bottom w:val="nil"/>
            </w:tcBorders>
            <w:vAlign w:val="center"/>
          </w:tcPr>
          <w:p w14:paraId="46942650" w14:textId="396E2672" w:rsidR="00674815" w:rsidRPr="003B0F09" w:rsidRDefault="00674815" w:rsidP="00620436">
            <w:pPr>
              <w:jc w:val="right"/>
              <w:rPr>
                <w:sz w:val="22"/>
                <w:szCs w:val="22"/>
              </w:rPr>
            </w:pPr>
            <w:r w:rsidRPr="003B0F09">
              <w:rPr>
                <w:color w:val="000000"/>
                <w:sz w:val="22"/>
                <w:szCs w:val="22"/>
              </w:rPr>
              <w:t>68.88</w:t>
            </w:r>
          </w:p>
        </w:tc>
      </w:tr>
      <w:tr w:rsidR="00674815" w14:paraId="0ED0749D" w14:textId="3C8EA25B" w:rsidTr="00620436">
        <w:trPr>
          <w:jc w:val="center"/>
        </w:trPr>
        <w:tc>
          <w:tcPr>
            <w:tcW w:w="1188" w:type="dxa"/>
            <w:tcBorders>
              <w:top w:val="nil"/>
              <w:bottom w:val="nil"/>
            </w:tcBorders>
          </w:tcPr>
          <w:p w14:paraId="10994643" w14:textId="51F57AA5" w:rsidR="00674815" w:rsidRPr="003B0F09" w:rsidRDefault="00674815" w:rsidP="00B97163">
            <w:pPr>
              <w:rPr>
                <w:sz w:val="22"/>
                <w:szCs w:val="22"/>
              </w:rPr>
            </w:pPr>
            <w:r w:rsidRPr="003B0F09">
              <w:rPr>
                <w:sz w:val="22"/>
                <w:szCs w:val="22"/>
              </w:rPr>
              <w:t>2</w:t>
            </w:r>
          </w:p>
        </w:tc>
        <w:tc>
          <w:tcPr>
            <w:tcW w:w="3092" w:type="dxa"/>
            <w:tcBorders>
              <w:top w:val="nil"/>
              <w:bottom w:val="nil"/>
            </w:tcBorders>
          </w:tcPr>
          <w:p w14:paraId="1A8BC8E0" w14:textId="77777777" w:rsidR="00674815" w:rsidRPr="003B0F09" w:rsidRDefault="00674815" w:rsidP="00B97163">
            <w:pPr>
              <w:rPr>
                <w:sz w:val="22"/>
                <w:szCs w:val="22"/>
              </w:rPr>
            </w:pPr>
            <w:r w:rsidRPr="003B0F09">
              <w:rPr>
                <w:sz w:val="22"/>
                <w:szCs w:val="22"/>
              </w:rPr>
              <w:t xml:space="preserve">CIB </w:t>
            </w:r>
          </w:p>
          <w:p w14:paraId="63292E83" w14:textId="26C468FE" w:rsidR="00674815" w:rsidRPr="003B0F09" w:rsidRDefault="00674815" w:rsidP="00620436">
            <w:pPr>
              <w:rPr>
                <w:sz w:val="22"/>
                <w:szCs w:val="22"/>
              </w:rPr>
            </w:pPr>
            <w:r w:rsidRPr="003B0F09">
              <w:rPr>
                <w:sz w:val="22"/>
                <w:szCs w:val="22"/>
              </w:rPr>
              <w:t>(excl</w:t>
            </w:r>
            <w:r w:rsidR="00620436">
              <w:rPr>
                <w:sz w:val="22"/>
                <w:szCs w:val="22"/>
              </w:rPr>
              <w:t>.</w:t>
            </w:r>
            <w:r w:rsidRPr="003B0F09">
              <w:rPr>
                <w:sz w:val="22"/>
                <w:szCs w:val="22"/>
              </w:rPr>
              <w:t xml:space="preserve"> ABL, ASG)</w:t>
            </w:r>
          </w:p>
        </w:tc>
        <w:tc>
          <w:tcPr>
            <w:tcW w:w="1890" w:type="dxa"/>
            <w:tcBorders>
              <w:top w:val="nil"/>
              <w:bottom w:val="nil"/>
            </w:tcBorders>
            <w:vAlign w:val="center"/>
          </w:tcPr>
          <w:p w14:paraId="3DEA3DF1" w14:textId="0325E561" w:rsidR="00674815" w:rsidRPr="003B0F09" w:rsidRDefault="00674815" w:rsidP="00620436">
            <w:pPr>
              <w:jc w:val="right"/>
              <w:rPr>
                <w:sz w:val="22"/>
                <w:szCs w:val="22"/>
              </w:rPr>
            </w:pPr>
            <w:r w:rsidRPr="003B0F09">
              <w:rPr>
                <w:color w:val="000000"/>
                <w:sz w:val="22"/>
                <w:szCs w:val="22"/>
              </w:rPr>
              <w:t xml:space="preserve"> 8,871,402,349 </w:t>
            </w:r>
          </w:p>
        </w:tc>
        <w:tc>
          <w:tcPr>
            <w:tcW w:w="1980" w:type="dxa"/>
            <w:tcBorders>
              <w:top w:val="nil"/>
              <w:bottom w:val="nil"/>
            </w:tcBorders>
            <w:vAlign w:val="center"/>
          </w:tcPr>
          <w:p w14:paraId="5E572509" w14:textId="7583C0EF" w:rsidR="00674815" w:rsidRPr="003B0F09" w:rsidRDefault="00674815" w:rsidP="00620436">
            <w:pPr>
              <w:jc w:val="right"/>
              <w:rPr>
                <w:sz w:val="22"/>
                <w:szCs w:val="22"/>
              </w:rPr>
            </w:pPr>
            <w:r w:rsidRPr="003B0F09">
              <w:rPr>
                <w:color w:val="000000"/>
                <w:sz w:val="22"/>
                <w:szCs w:val="22"/>
              </w:rPr>
              <w:t xml:space="preserve">42,941,261,543 </w:t>
            </w:r>
          </w:p>
        </w:tc>
        <w:tc>
          <w:tcPr>
            <w:tcW w:w="1669" w:type="dxa"/>
            <w:tcBorders>
              <w:top w:val="nil"/>
              <w:bottom w:val="nil"/>
            </w:tcBorders>
            <w:vAlign w:val="center"/>
          </w:tcPr>
          <w:p w14:paraId="46F747FD" w14:textId="51C5C798" w:rsidR="00674815" w:rsidRPr="003B0F09" w:rsidRDefault="00674815" w:rsidP="00620436">
            <w:pPr>
              <w:jc w:val="right"/>
              <w:rPr>
                <w:sz w:val="22"/>
                <w:szCs w:val="22"/>
              </w:rPr>
            </w:pPr>
            <w:r w:rsidRPr="003B0F09">
              <w:rPr>
                <w:color w:val="000000"/>
                <w:sz w:val="22"/>
                <w:szCs w:val="22"/>
              </w:rPr>
              <w:t>20.66</w:t>
            </w:r>
          </w:p>
        </w:tc>
      </w:tr>
      <w:tr w:rsidR="00674815" w14:paraId="7D00E4DF" w14:textId="179180F7" w:rsidTr="00620436">
        <w:trPr>
          <w:jc w:val="center"/>
        </w:trPr>
        <w:tc>
          <w:tcPr>
            <w:tcW w:w="1188" w:type="dxa"/>
            <w:tcBorders>
              <w:top w:val="nil"/>
              <w:bottom w:val="nil"/>
            </w:tcBorders>
          </w:tcPr>
          <w:p w14:paraId="6E166A1F" w14:textId="516EE960" w:rsidR="00674815" w:rsidRPr="003B0F09" w:rsidRDefault="00674815" w:rsidP="00B97163">
            <w:pPr>
              <w:rPr>
                <w:sz w:val="22"/>
                <w:szCs w:val="22"/>
              </w:rPr>
            </w:pPr>
            <w:r w:rsidRPr="003B0F09">
              <w:rPr>
                <w:sz w:val="22"/>
                <w:szCs w:val="22"/>
              </w:rPr>
              <w:t>3</w:t>
            </w:r>
          </w:p>
        </w:tc>
        <w:tc>
          <w:tcPr>
            <w:tcW w:w="3092" w:type="dxa"/>
            <w:tcBorders>
              <w:top w:val="nil"/>
              <w:bottom w:val="nil"/>
            </w:tcBorders>
          </w:tcPr>
          <w:p w14:paraId="1BCF951F" w14:textId="77777777" w:rsidR="00674815" w:rsidRPr="003B0F09" w:rsidRDefault="00674815" w:rsidP="00B97163">
            <w:pPr>
              <w:rPr>
                <w:sz w:val="22"/>
                <w:szCs w:val="22"/>
              </w:rPr>
            </w:pPr>
            <w:r w:rsidRPr="003B0F09">
              <w:rPr>
                <w:sz w:val="22"/>
                <w:szCs w:val="22"/>
              </w:rPr>
              <w:t>CML</w:t>
            </w:r>
          </w:p>
          <w:p w14:paraId="6CF22537" w14:textId="1041E2A3" w:rsidR="00674815" w:rsidRPr="003B0F09" w:rsidRDefault="00674815" w:rsidP="00620436">
            <w:pPr>
              <w:rPr>
                <w:sz w:val="22"/>
                <w:szCs w:val="22"/>
              </w:rPr>
            </w:pPr>
            <w:r w:rsidRPr="003B0F09">
              <w:rPr>
                <w:sz w:val="22"/>
                <w:szCs w:val="22"/>
              </w:rPr>
              <w:t>(excl</w:t>
            </w:r>
            <w:r w:rsidR="00620436">
              <w:rPr>
                <w:sz w:val="22"/>
                <w:szCs w:val="22"/>
              </w:rPr>
              <w:t>.</w:t>
            </w:r>
            <w:r w:rsidRPr="003B0F09">
              <w:rPr>
                <w:sz w:val="22"/>
                <w:szCs w:val="22"/>
              </w:rPr>
              <w:t xml:space="preserve"> Floor Plan, ABL, BBK Metro, BBK Regional)</w:t>
            </w:r>
          </w:p>
        </w:tc>
        <w:tc>
          <w:tcPr>
            <w:tcW w:w="1890" w:type="dxa"/>
            <w:tcBorders>
              <w:top w:val="nil"/>
              <w:bottom w:val="nil"/>
            </w:tcBorders>
            <w:vAlign w:val="center"/>
          </w:tcPr>
          <w:p w14:paraId="208A95DC" w14:textId="5FDD5DE7" w:rsidR="00674815" w:rsidRPr="003B0F09" w:rsidRDefault="00674815" w:rsidP="00620436">
            <w:pPr>
              <w:jc w:val="right"/>
              <w:rPr>
                <w:sz w:val="22"/>
                <w:szCs w:val="22"/>
              </w:rPr>
            </w:pPr>
            <w:r w:rsidRPr="003B0F09">
              <w:rPr>
                <w:color w:val="000000"/>
                <w:sz w:val="22"/>
                <w:szCs w:val="22"/>
              </w:rPr>
              <w:t xml:space="preserve"> 3,004,323,382 </w:t>
            </w:r>
          </w:p>
        </w:tc>
        <w:tc>
          <w:tcPr>
            <w:tcW w:w="1980" w:type="dxa"/>
            <w:tcBorders>
              <w:top w:val="nil"/>
              <w:bottom w:val="nil"/>
            </w:tcBorders>
            <w:vAlign w:val="center"/>
          </w:tcPr>
          <w:p w14:paraId="7FA3DB88" w14:textId="297E8367" w:rsidR="00674815" w:rsidRPr="003B0F09" w:rsidRDefault="00674815" w:rsidP="00620436">
            <w:pPr>
              <w:jc w:val="right"/>
              <w:rPr>
                <w:sz w:val="22"/>
                <w:szCs w:val="22"/>
              </w:rPr>
            </w:pPr>
            <w:r w:rsidRPr="003B0F09">
              <w:rPr>
                <w:color w:val="000000"/>
                <w:sz w:val="22"/>
                <w:szCs w:val="22"/>
              </w:rPr>
              <w:t xml:space="preserve">8,416,225,477 </w:t>
            </w:r>
          </w:p>
        </w:tc>
        <w:tc>
          <w:tcPr>
            <w:tcW w:w="1669" w:type="dxa"/>
            <w:tcBorders>
              <w:top w:val="nil"/>
              <w:bottom w:val="nil"/>
            </w:tcBorders>
            <w:vAlign w:val="center"/>
          </w:tcPr>
          <w:p w14:paraId="440D4538" w14:textId="2B86E671" w:rsidR="00674815" w:rsidRPr="003B0F09" w:rsidRDefault="00674815" w:rsidP="00620436">
            <w:pPr>
              <w:jc w:val="right"/>
              <w:rPr>
                <w:sz w:val="22"/>
                <w:szCs w:val="22"/>
              </w:rPr>
            </w:pPr>
            <w:r w:rsidRPr="003B0F09">
              <w:rPr>
                <w:color w:val="000000"/>
                <w:sz w:val="22"/>
                <w:szCs w:val="22"/>
              </w:rPr>
              <w:t>35.70</w:t>
            </w:r>
          </w:p>
        </w:tc>
      </w:tr>
      <w:tr w:rsidR="00674815" w14:paraId="0B47B3BD" w14:textId="4C2545BE" w:rsidTr="00620436">
        <w:trPr>
          <w:jc w:val="center"/>
        </w:trPr>
        <w:tc>
          <w:tcPr>
            <w:tcW w:w="1188" w:type="dxa"/>
            <w:tcBorders>
              <w:top w:val="nil"/>
              <w:bottom w:val="nil"/>
            </w:tcBorders>
          </w:tcPr>
          <w:p w14:paraId="2659328E" w14:textId="26FBF51F" w:rsidR="00674815" w:rsidRPr="003B0F09" w:rsidRDefault="00674815" w:rsidP="00B97163">
            <w:pPr>
              <w:rPr>
                <w:sz w:val="22"/>
                <w:szCs w:val="22"/>
              </w:rPr>
            </w:pPr>
            <w:r w:rsidRPr="003B0F09">
              <w:rPr>
                <w:sz w:val="22"/>
                <w:szCs w:val="22"/>
              </w:rPr>
              <w:t>4</w:t>
            </w:r>
          </w:p>
        </w:tc>
        <w:tc>
          <w:tcPr>
            <w:tcW w:w="3092" w:type="dxa"/>
            <w:tcBorders>
              <w:top w:val="nil"/>
              <w:bottom w:val="nil"/>
            </w:tcBorders>
          </w:tcPr>
          <w:p w14:paraId="46F52882" w14:textId="1D53A339" w:rsidR="00674815" w:rsidRPr="003B0F09" w:rsidRDefault="00674815" w:rsidP="00B97163">
            <w:pPr>
              <w:rPr>
                <w:sz w:val="22"/>
                <w:szCs w:val="22"/>
              </w:rPr>
            </w:pPr>
            <w:r w:rsidRPr="003B0F09">
              <w:rPr>
                <w:sz w:val="22"/>
                <w:szCs w:val="22"/>
              </w:rPr>
              <w:t>PWM</w:t>
            </w:r>
          </w:p>
        </w:tc>
        <w:tc>
          <w:tcPr>
            <w:tcW w:w="1890" w:type="dxa"/>
            <w:tcBorders>
              <w:top w:val="nil"/>
              <w:bottom w:val="nil"/>
            </w:tcBorders>
            <w:vAlign w:val="center"/>
          </w:tcPr>
          <w:p w14:paraId="461FE289" w14:textId="4A685271" w:rsidR="00674815" w:rsidRPr="003B0F09" w:rsidRDefault="00674815" w:rsidP="00620436">
            <w:pPr>
              <w:jc w:val="right"/>
              <w:rPr>
                <w:sz w:val="22"/>
                <w:szCs w:val="22"/>
              </w:rPr>
            </w:pPr>
            <w:r w:rsidRPr="003B0F09">
              <w:rPr>
                <w:color w:val="000000"/>
                <w:sz w:val="22"/>
                <w:szCs w:val="22"/>
              </w:rPr>
              <w:t xml:space="preserve"> 2,521,785,685 </w:t>
            </w:r>
          </w:p>
        </w:tc>
        <w:tc>
          <w:tcPr>
            <w:tcW w:w="1980" w:type="dxa"/>
            <w:tcBorders>
              <w:top w:val="nil"/>
              <w:bottom w:val="nil"/>
            </w:tcBorders>
            <w:vAlign w:val="center"/>
          </w:tcPr>
          <w:p w14:paraId="50427D68" w14:textId="3818C65C" w:rsidR="00674815" w:rsidRPr="003B0F09" w:rsidRDefault="00674815" w:rsidP="00620436">
            <w:pPr>
              <w:jc w:val="right"/>
              <w:rPr>
                <w:sz w:val="22"/>
                <w:szCs w:val="22"/>
              </w:rPr>
            </w:pPr>
            <w:r w:rsidRPr="003B0F09">
              <w:rPr>
                <w:color w:val="000000"/>
                <w:sz w:val="22"/>
                <w:szCs w:val="22"/>
              </w:rPr>
              <w:t xml:space="preserve">5,800,991,474 </w:t>
            </w:r>
          </w:p>
        </w:tc>
        <w:tc>
          <w:tcPr>
            <w:tcW w:w="1669" w:type="dxa"/>
            <w:tcBorders>
              <w:top w:val="nil"/>
              <w:bottom w:val="nil"/>
            </w:tcBorders>
            <w:vAlign w:val="center"/>
          </w:tcPr>
          <w:p w14:paraId="4CF1600A" w14:textId="714336D1" w:rsidR="00674815" w:rsidRPr="003B0F09" w:rsidRDefault="00674815" w:rsidP="00620436">
            <w:pPr>
              <w:jc w:val="right"/>
              <w:rPr>
                <w:sz w:val="22"/>
                <w:szCs w:val="22"/>
              </w:rPr>
            </w:pPr>
            <w:r w:rsidRPr="003B0F09">
              <w:rPr>
                <w:color w:val="000000"/>
                <w:sz w:val="22"/>
                <w:szCs w:val="22"/>
              </w:rPr>
              <w:t>43.47</w:t>
            </w:r>
          </w:p>
        </w:tc>
      </w:tr>
      <w:tr w:rsidR="00674815" w14:paraId="71CE47F5" w14:textId="62FE4D8D" w:rsidTr="00620436">
        <w:trPr>
          <w:jc w:val="center"/>
        </w:trPr>
        <w:tc>
          <w:tcPr>
            <w:tcW w:w="1188" w:type="dxa"/>
            <w:tcBorders>
              <w:top w:val="nil"/>
              <w:bottom w:val="nil"/>
            </w:tcBorders>
          </w:tcPr>
          <w:p w14:paraId="09EFD75F" w14:textId="2AF779A9" w:rsidR="00674815" w:rsidRPr="003B0F09" w:rsidRDefault="00674815" w:rsidP="00B97163">
            <w:pPr>
              <w:rPr>
                <w:sz w:val="22"/>
                <w:szCs w:val="22"/>
              </w:rPr>
            </w:pPr>
            <w:r w:rsidRPr="003B0F09">
              <w:rPr>
                <w:sz w:val="22"/>
                <w:szCs w:val="22"/>
              </w:rPr>
              <w:t>5</w:t>
            </w:r>
          </w:p>
        </w:tc>
        <w:tc>
          <w:tcPr>
            <w:tcW w:w="3092" w:type="dxa"/>
            <w:tcBorders>
              <w:top w:val="nil"/>
              <w:bottom w:val="nil"/>
            </w:tcBorders>
          </w:tcPr>
          <w:p w14:paraId="51261BC5" w14:textId="2CA989DD" w:rsidR="00674815" w:rsidRPr="003B0F09" w:rsidRDefault="00674815" w:rsidP="00B97163">
            <w:pPr>
              <w:rPr>
                <w:sz w:val="22"/>
                <w:szCs w:val="22"/>
              </w:rPr>
            </w:pPr>
            <w:r w:rsidRPr="003B0F09">
              <w:rPr>
                <w:sz w:val="22"/>
                <w:szCs w:val="22"/>
              </w:rPr>
              <w:t>ABL</w:t>
            </w:r>
          </w:p>
        </w:tc>
        <w:tc>
          <w:tcPr>
            <w:tcW w:w="1890" w:type="dxa"/>
            <w:tcBorders>
              <w:top w:val="nil"/>
              <w:bottom w:val="nil"/>
            </w:tcBorders>
            <w:vAlign w:val="center"/>
          </w:tcPr>
          <w:p w14:paraId="3E04409D" w14:textId="1F2F9CA2" w:rsidR="00674815" w:rsidRPr="003B0F09" w:rsidRDefault="00674815" w:rsidP="00620436">
            <w:pPr>
              <w:jc w:val="right"/>
              <w:rPr>
                <w:sz w:val="22"/>
                <w:szCs w:val="22"/>
              </w:rPr>
            </w:pPr>
            <w:r w:rsidRPr="003B0F09">
              <w:rPr>
                <w:color w:val="000000"/>
                <w:sz w:val="22"/>
                <w:szCs w:val="22"/>
              </w:rPr>
              <w:t xml:space="preserve"> 3,048,633,642 </w:t>
            </w:r>
          </w:p>
        </w:tc>
        <w:tc>
          <w:tcPr>
            <w:tcW w:w="1980" w:type="dxa"/>
            <w:tcBorders>
              <w:top w:val="nil"/>
              <w:bottom w:val="nil"/>
            </w:tcBorders>
            <w:vAlign w:val="center"/>
          </w:tcPr>
          <w:p w14:paraId="442F9E07" w14:textId="2709A557" w:rsidR="00674815" w:rsidRPr="003B0F09" w:rsidRDefault="00674815" w:rsidP="00620436">
            <w:pPr>
              <w:jc w:val="right"/>
              <w:rPr>
                <w:sz w:val="22"/>
                <w:szCs w:val="22"/>
              </w:rPr>
            </w:pPr>
            <w:r w:rsidRPr="003B0F09">
              <w:rPr>
                <w:color w:val="000000"/>
                <w:sz w:val="22"/>
                <w:szCs w:val="22"/>
              </w:rPr>
              <w:t xml:space="preserve">7,797,322,236 </w:t>
            </w:r>
          </w:p>
        </w:tc>
        <w:tc>
          <w:tcPr>
            <w:tcW w:w="1669" w:type="dxa"/>
            <w:tcBorders>
              <w:top w:val="nil"/>
              <w:bottom w:val="nil"/>
            </w:tcBorders>
            <w:vAlign w:val="center"/>
          </w:tcPr>
          <w:p w14:paraId="50F205F8" w14:textId="3A9AF1DA" w:rsidR="00674815" w:rsidRPr="003B0F09" w:rsidRDefault="00674815" w:rsidP="00620436">
            <w:pPr>
              <w:jc w:val="right"/>
              <w:rPr>
                <w:sz w:val="22"/>
                <w:szCs w:val="22"/>
              </w:rPr>
            </w:pPr>
            <w:r w:rsidRPr="003B0F09">
              <w:rPr>
                <w:color w:val="000000"/>
                <w:sz w:val="22"/>
                <w:szCs w:val="22"/>
              </w:rPr>
              <w:t>39.10</w:t>
            </w:r>
          </w:p>
        </w:tc>
      </w:tr>
      <w:tr w:rsidR="00674815" w14:paraId="28515D67" w14:textId="6FDBDC93" w:rsidTr="00620436">
        <w:trPr>
          <w:jc w:val="center"/>
        </w:trPr>
        <w:tc>
          <w:tcPr>
            <w:tcW w:w="1188" w:type="dxa"/>
            <w:tcBorders>
              <w:top w:val="nil"/>
              <w:bottom w:val="nil"/>
            </w:tcBorders>
          </w:tcPr>
          <w:p w14:paraId="59C78874" w14:textId="7303023D" w:rsidR="00674815" w:rsidRPr="003B0F09" w:rsidRDefault="00674815" w:rsidP="00B97163">
            <w:pPr>
              <w:rPr>
                <w:sz w:val="22"/>
                <w:szCs w:val="22"/>
              </w:rPr>
            </w:pPr>
            <w:r w:rsidRPr="003B0F09">
              <w:rPr>
                <w:sz w:val="22"/>
                <w:szCs w:val="22"/>
              </w:rPr>
              <w:t>6</w:t>
            </w:r>
          </w:p>
        </w:tc>
        <w:tc>
          <w:tcPr>
            <w:tcW w:w="3092" w:type="dxa"/>
            <w:tcBorders>
              <w:top w:val="nil"/>
              <w:bottom w:val="nil"/>
            </w:tcBorders>
          </w:tcPr>
          <w:p w14:paraId="56CAAC12" w14:textId="7F1ABA0C" w:rsidR="00674815" w:rsidRPr="003B0F09" w:rsidRDefault="00674815" w:rsidP="00B97163">
            <w:pPr>
              <w:rPr>
                <w:sz w:val="22"/>
                <w:szCs w:val="22"/>
              </w:rPr>
            </w:pPr>
            <w:r w:rsidRPr="003B0F09">
              <w:rPr>
                <w:sz w:val="22"/>
                <w:szCs w:val="22"/>
              </w:rPr>
              <w:t>RTL, BBK Metro, BBK Regional</w:t>
            </w:r>
          </w:p>
        </w:tc>
        <w:tc>
          <w:tcPr>
            <w:tcW w:w="1890" w:type="dxa"/>
            <w:tcBorders>
              <w:top w:val="nil"/>
              <w:bottom w:val="nil"/>
            </w:tcBorders>
            <w:vAlign w:val="center"/>
          </w:tcPr>
          <w:p w14:paraId="383817E4" w14:textId="0098B5B1" w:rsidR="00674815" w:rsidRPr="003B0F09" w:rsidRDefault="00674815" w:rsidP="00620436">
            <w:pPr>
              <w:jc w:val="right"/>
              <w:rPr>
                <w:sz w:val="22"/>
                <w:szCs w:val="22"/>
              </w:rPr>
            </w:pPr>
            <w:r w:rsidRPr="003B0F09">
              <w:rPr>
                <w:color w:val="000000"/>
                <w:sz w:val="22"/>
                <w:szCs w:val="22"/>
              </w:rPr>
              <w:t xml:space="preserve"> 477,033,753 </w:t>
            </w:r>
          </w:p>
        </w:tc>
        <w:tc>
          <w:tcPr>
            <w:tcW w:w="1980" w:type="dxa"/>
            <w:tcBorders>
              <w:top w:val="nil"/>
              <w:bottom w:val="nil"/>
            </w:tcBorders>
            <w:vAlign w:val="center"/>
          </w:tcPr>
          <w:p w14:paraId="5AF94823" w14:textId="362AE7C1" w:rsidR="00674815" w:rsidRPr="003B0F09" w:rsidRDefault="00674815" w:rsidP="00620436">
            <w:pPr>
              <w:jc w:val="right"/>
              <w:rPr>
                <w:sz w:val="22"/>
                <w:szCs w:val="22"/>
              </w:rPr>
            </w:pPr>
            <w:r w:rsidRPr="003B0F09">
              <w:rPr>
                <w:color w:val="000000"/>
                <w:sz w:val="22"/>
                <w:szCs w:val="22"/>
              </w:rPr>
              <w:t xml:space="preserve">1,256,180,274 </w:t>
            </w:r>
          </w:p>
        </w:tc>
        <w:tc>
          <w:tcPr>
            <w:tcW w:w="1669" w:type="dxa"/>
            <w:tcBorders>
              <w:top w:val="nil"/>
              <w:bottom w:val="nil"/>
            </w:tcBorders>
            <w:vAlign w:val="center"/>
          </w:tcPr>
          <w:p w14:paraId="60A9D94E" w14:textId="653D10AF" w:rsidR="00674815" w:rsidRPr="003B0F09" w:rsidRDefault="00674815" w:rsidP="00620436">
            <w:pPr>
              <w:jc w:val="right"/>
              <w:rPr>
                <w:sz w:val="22"/>
                <w:szCs w:val="22"/>
              </w:rPr>
            </w:pPr>
            <w:r w:rsidRPr="003B0F09">
              <w:rPr>
                <w:color w:val="000000"/>
                <w:sz w:val="22"/>
                <w:szCs w:val="22"/>
              </w:rPr>
              <w:t>37.97</w:t>
            </w:r>
          </w:p>
        </w:tc>
      </w:tr>
      <w:tr w:rsidR="00674815" w14:paraId="584A8CEA" w14:textId="6F02605F" w:rsidTr="00620436">
        <w:trPr>
          <w:jc w:val="center"/>
        </w:trPr>
        <w:tc>
          <w:tcPr>
            <w:tcW w:w="1188" w:type="dxa"/>
            <w:tcBorders>
              <w:top w:val="nil"/>
            </w:tcBorders>
          </w:tcPr>
          <w:p w14:paraId="2C4B9F72" w14:textId="5579C0B1" w:rsidR="00674815" w:rsidRPr="003B0F09" w:rsidRDefault="00674815" w:rsidP="00B97163">
            <w:pPr>
              <w:rPr>
                <w:sz w:val="22"/>
                <w:szCs w:val="22"/>
              </w:rPr>
            </w:pPr>
            <w:r w:rsidRPr="003B0F09">
              <w:rPr>
                <w:sz w:val="22"/>
                <w:szCs w:val="22"/>
              </w:rPr>
              <w:t>7</w:t>
            </w:r>
          </w:p>
        </w:tc>
        <w:tc>
          <w:tcPr>
            <w:tcW w:w="3092" w:type="dxa"/>
            <w:tcBorders>
              <w:top w:val="nil"/>
            </w:tcBorders>
          </w:tcPr>
          <w:p w14:paraId="6C30B194" w14:textId="3F606B99" w:rsidR="00674815" w:rsidRPr="003B0F09" w:rsidRDefault="00674815" w:rsidP="00B97163">
            <w:pPr>
              <w:rPr>
                <w:sz w:val="22"/>
                <w:szCs w:val="22"/>
              </w:rPr>
            </w:pPr>
            <w:r w:rsidRPr="003B0F09">
              <w:rPr>
                <w:sz w:val="22"/>
                <w:szCs w:val="22"/>
              </w:rPr>
              <w:t>CRE</w:t>
            </w:r>
          </w:p>
        </w:tc>
        <w:tc>
          <w:tcPr>
            <w:tcW w:w="1890" w:type="dxa"/>
            <w:tcBorders>
              <w:top w:val="nil"/>
            </w:tcBorders>
            <w:vAlign w:val="center"/>
          </w:tcPr>
          <w:p w14:paraId="23195A73" w14:textId="7D7EFBAC" w:rsidR="00674815" w:rsidRPr="003B0F09" w:rsidRDefault="00674815" w:rsidP="00620436">
            <w:pPr>
              <w:jc w:val="right"/>
              <w:rPr>
                <w:sz w:val="22"/>
                <w:szCs w:val="22"/>
              </w:rPr>
            </w:pPr>
            <w:r w:rsidRPr="003B0F09">
              <w:rPr>
                <w:color w:val="000000"/>
                <w:sz w:val="22"/>
                <w:szCs w:val="22"/>
              </w:rPr>
              <w:t xml:space="preserve"> 1,329,846,368 </w:t>
            </w:r>
          </w:p>
        </w:tc>
        <w:tc>
          <w:tcPr>
            <w:tcW w:w="1980" w:type="dxa"/>
            <w:tcBorders>
              <w:top w:val="nil"/>
            </w:tcBorders>
            <w:vAlign w:val="center"/>
          </w:tcPr>
          <w:p w14:paraId="1EAFC5F8" w14:textId="2CE70801" w:rsidR="00674815" w:rsidRPr="003B0F09" w:rsidRDefault="00674815" w:rsidP="00620436">
            <w:pPr>
              <w:jc w:val="right"/>
              <w:rPr>
                <w:sz w:val="22"/>
                <w:szCs w:val="22"/>
              </w:rPr>
            </w:pPr>
            <w:r w:rsidRPr="003B0F09">
              <w:rPr>
                <w:color w:val="000000"/>
                <w:sz w:val="22"/>
                <w:szCs w:val="22"/>
              </w:rPr>
              <w:t xml:space="preserve">5,179,845,837 </w:t>
            </w:r>
          </w:p>
        </w:tc>
        <w:tc>
          <w:tcPr>
            <w:tcW w:w="1669" w:type="dxa"/>
            <w:tcBorders>
              <w:top w:val="nil"/>
            </w:tcBorders>
            <w:vAlign w:val="center"/>
          </w:tcPr>
          <w:p w14:paraId="493810F3" w14:textId="72B5F744" w:rsidR="00674815" w:rsidRPr="003B0F09" w:rsidRDefault="00674815" w:rsidP="00620436">
            <w:pPr>
              <w:jc w:val="right"/>
              <w:rPr>
                <w:sz w:val="22"/>
                <w:szCs w:val="22"/>
              </w:rPr>
            </w:pPr>
            <w:r w:rsidRPr="003B0F09">
              <w:rPr>
                <w:color w:val="000000"/>
                <w:sz w:val="22"/>
                <w:szCs w:val="22"/>
              </w:rPr>
              <w:t>25.67</w:t>
            </w:r>
          </w:p>
        </w:tc>
      </w:tr>
      <w:tr w:rsidR="008D4F5D" w14:paraId="69E9CEC8" w14:textId="06EF1E76" w:rsidTr="00620436">
        <w:trPr>
          <w:jc w:val="center"/>
        </w:trPr>
        <w:tc>
          <w:tcPr>
            <w:tcW w:w="4280" w:type="dxa"/>
            <w:gridSpan w:val="2"/>
          </w:tcPr>
          <w:p w14:paraId="469C7322" w14:textId="3169BAF9" w:rsidR="008D4F5D" w:rsidRPr="003B0F09" w:rsidRDefault="008D4F5D" w:rsidP="00B97163">
            <w:pPr>
              <w:rPr>
                <w:sz w:val="22"/>
                <w:szCs w:val="22"/>
              </w:rPr>
            </w:pPr>
            <w:r w:rsidRPr="003B0F09">
              <w:rPr>
                <w:sz w:val="22"/>
                <w:szCs w:val="22"/>
              </w:rPr>
              <w:t>Total</w:t>
            </w:r>
          </w:p>
        </w:tc>
        <w:tc>
          <w:tcPr>
            <w:tcW w:w="1890" w:type="dxa"/>
            <w:vAlign w:val="center"/>
          </w:tcPr>
          <w:p w14:paraId="7AF9BF1B" w14:textId="0B89F46B" w:rsidR="008D4F5D" w:rsidRPr="003B0F09" w:rsidRDefault="00674815" w:rsidP="00620436">
            <w:pPr>
              <w:jc w:val="right"/>
              <w:rPr>
                <w:color w:val="000000"/>
                <w:sz w:val="22"/>
                <w:szCs w:val="22"/>
              </w:rPr>
            </w:pPr>
            <w:r w:rsidRPr="003B0F09">
              <w:rPr>
                <w:color w:val="000000"/>
                <w:sz w:val="22"/>
                <w:szCs w:val="22"/>
              </w:rPr>
              <w:t xml:space="preserve"> 22,647,126,819 </w:t>
            </w:r>
          </w:p>
        </w:tc>
        <w:tc>
          <w:tcPr>
            <w:tcW w:w="1980" w:type="dxa"/>
            <w:vAlign w:val="center"/>
          </w:tcPr>
          <w:p w14:paraId="5A257441" w14:textId="46726059" w:rsidR="008D4F5D" w:rsidRPr="003B0F09" w:rsidRDefault="00674815" w:rsidP="00620436">
            <w:pPr>
              <w:jc w:val="right"/>
              <w:rPr>
                <w:color w:val="000000"/>
                <w:sz w:val="22"/>
                <w:szCs w:val="22"/>
              </w:rPr>
            </w:pPr>
            <w:r w:rsidRPr="003B0F09">
              <w:rPr>
                <w:color w:val="000000"/>
                <w:sz w:val="22"/>
                <w:szCs w:val="22"/>
              </w:rPr>
              <w:t xml:space="preserve">76,319,215,478 </w:t>
            </w:r>
          </w:p>
        </w:tc>
        <w:tc>
          <w:tcPr>
            <w:tcW w:w="1669" w:type="dxa"/>
            <w:vAlign w:val="center"/>
          </w:tcPr>
          <w:p w14:paraId="1E7042BA" w14:textId="77777777" w:rsidR="008D4F5D" w:rsidRPr="003B0F09" w:rsidRDefault="008D4F5D" w:rsidP="00620436">
            <w:pPr>
              <w:keepNext/>
              <w:jc w:val="right"/>
              <w:rPr>
                <w:sz w:val="22"/>
                <w:szCs w:val="22"/>
              </w:rPr>
            </w:pPr>
          </w:p>
        </w:tc>
      </w:tr>
    </w:tbl>
    <w:p w14:paraId="3A122805" w14:textId="0773BEF4" w:rsidR="00B97163" w:rsidRDefault="009D609B" w:rsidP="009D609B">
      <w:pPr>
        <w:pStyle w:val="Caption"/>
      </w:pPr>
      <w:bookmarkStart w:id="0" w:name="_Ref519253219"/>
      <w:r>
        <w:t xml:space="preserve">Figure </w:t>
      </w:r>
      <w:r w:rsidR="001B0814">
        <w:fldChar w:fldCharType="begin"/>
      </w:r>
      <w:r w:rsidR="001B0814">
        <w:instrText xml:space="preserve"> SEQ Figure \* ARABIC </w:instrText>
      </w:r>
      <w:r w:rsidR="001B0814">
        <w:fldChar w:fldCharType="separate"/>
      </w:r>
      <w:r w:rsidR="004566BD">
        <w:rPr>
          <w:noProof/>
        </w:rPr>
        <w:t>1</w:t>
      </w:r>
      <w:r w:rsidR="001B0814">
        <w:rPr>
          <w:noProof/>
        </w:rPr>
        <w:fldChar w:fldCharType="end"/>
      </w:r>
      <w:bookmarkEnd w:id="0"/>
      <w:r>
        <w:t>: Current Segmentation for Utilization Rate as of 5/31/2018</w:t>
      </w:r>
    </w:p>
    <w:p w14:paraId="3BE07C1D" w14:textId="77777777" w:rsidR="00EB2D02" w:rsidRDefault="00EB2D02" w:rsidP="00297C22">
      <w:pPr>
        <w:rPr>
          <w:u w:val="single"/>
        </w:rPr>
      </w:pPr>
    </w:p>
    <w:p w14:paraId="67BD5049" w14:textId="55894AE4" w:rsidR="00987435" w:rsidRPr="00274478" w:rsidRDefault="00674815" w:rsidP="00297C22">
      <w:pPr>
        <w:rPr>
          <w:u w:val="single"/>
        </w:rPr>
      </w:pPr>
      <w:r w:rsidRPr="00274478">
        <w:rPr>
          <w:u w:val="single"/>
        </w:rPr>
        <w:t>Segmentation for Closure Rate</w:t>
      </w:r>
    </w:p>
    <w:p w14:paraId="4CB9556A" w14:textId="77777777" w:rsidR="00674815" w:rsidRDefault="00674815" w:rsidP="00297C22"/>
    <w:p w14:paraId="7D0EA549" w14:textId="3C57A492" w:rsidR="00674815" w:rsidRDefault="00674815" w:rsidP="00297C22">
      <w:r>
        <w:t>The closure rate is calculated from 5/31/2018 to 6/30/2018 on 5/31/2018 portfolio</w:t>
      </w:r>
      <w:r w:rsidR="00163A06">
        <w:rPr>
          <w:rStyle w:val="FootnoteReference"/>
        </w:rPr>
        <w:footnoteReference w:id="2"/>
      </w:r>
      <w:r>
        <w:t>.</w:t>
      </w:r>
      <w:r w:rsidR="00274478">
        <w:t xml:space="preserve"> Closure rate is calculated by</w:t>
      </w:r>
      <w:r w:rsidR="00EB2D02">
        <w:t xml:space="preserve"> the closed commitment </w:t>
      </w:r>
      <w:r w:rsidR="00274478">
        <w:t>divided by all commitment</w:t>
      </w:r>
      <w:r w:rsidR="00390F23">
        <w:t>, and this single monthly mortality (SMM) rate is annualized to have conditional prepayment rate (CPR)</w:t>
      </w:r>
      <w:r w:rsidR="00274478">
        <w:t>.</w:t>
      </w:r>
    </w:p>
    <w:p w14:paraId="0F0AE9D1" w14:textId="77777777" w:rsidR="00674815" w:rsidRDefault="00674815" w:rsidP="00297C22"/>
    <w:tbl>
      <w:tblPr>
        <w:tblStyle w:val="TableGrid"/>
        <w:tblW w:w="9558" w:type="dxa"/>
        <w:jc w:val="center"/>
        <w:tblLayout w:type="fixed"/>
        <w:tblLook w:val="04A0" w:firstRow="1" w:lastRow="0" w:firstColumn="1" w:lastColumn="0" w:noHBand="0" w:noVBand="1"/>
      </w:tblPr>
      <w:tblGrid>
        <w:gridCol w:w="1548"/>
        <w:gridCol w:w="2070"/>
        <w:gridCol w:w="2250"/>
        <w:gridCol w:w="2151"/>
        <w:gridCol w:w="1539"/>
      </w:tblGrid>
      <w:tr w:rsidR="00674815" w14:paraId="6DA837DA" w14:textId="77777777" w:rsidTr="003B0F09">
        <w:trPr>
          <w:jc w:val="center"/>
        </w:trPr>
        <w:tc>
          <w:tcPr>
            <w:tcW w:w="1548" w:type="dxa"/>
            <w:tcBorders>
              <w:bottom w:val="single" w:sz="4" w:space="0" w:color="auto"/>
            </w:tcBorders>
          </w:tcPr>
          <w:p w14:paraId="1FC2F2A9" w14:textId="77777777" w:rsidR="00674815" w:rsidRPr="003B0F09" w:rsidRDefault="00674815" w:rsidP="00F554CF">
            <w:pPr>
              <w:rPr>
                <w:sz w:val="22"/>
                <w:szCs w:val="22"/>
              </w:rPr>
            </w:pPr>
            <w:r w:rsidRPr="003B0F09">
              <w:rPr>
                <w:sz w:val="22"/>
                <w:szCs w:val="22"/>
              </w:rPr>
              <w:t>Segment</w:t>
            </w:r>
          </w:p>
        </w:tc>
        <w:tc>
          <w:tcPr>
            <w:tcW w:w="2070" w:type="dxa"/>
            <w:tcBorders>
              <w:bottom w:val="single" w:sz="4" w:space="0" w:color="auto"/>
            </w:tcBorders>
          </w:tcPr>
          <w:p w14:paraId="14E3EFAD" w14:textId="77777777" w:rsidR="00674815" w:rsidRPr="003B0F09" w:rsidRDefault="00674815" w:rsidP="00F554CF">
            <w:pPr>
              <w:rPr>
                <w:sz w:val="22"/>
                <w:szCs w:val="22"/>
              </w:rPr>
            </w:pPr>
            <w:r w:rsidRPr="003B0F09">
              <w:rPr>
                <w:sz w:val="22"/>
                <w:szCs w:val="22"/>
              </w:rPr>
              <w:t>Lines of Business</w:t>
            </w:r>
          </w:p>
        </w:tc>
        <w:tc>
          <w:tcPr>
            <w:tcW w:w="2250" w:type="dxa"/>
            <w:tcBorders>
              <w:bottom w:val="single" w:sz="4" w:space="0" w:color="auto"/>
            </w:tcBorders>
          </w:tcPr>
          <w:p w14:paraId="076E6EC2" w14:textId="5CD081A5" w:rsidR="00674815" w:rsidRPr="003B0F09" w:rsidRDefault="00274478" w:rsidP="00F554CF">
            <w:pPr>
              <w:rPr>
                <w:sz w:val="22"/>
                <w:szCs w:val="22"/>
              </w:rPr>
            </w:pPr>
            <w:r w:rsidRPr="003B0F09">
              <w:rPr>
                <w:sz w:val="22"/>
                <w:szCs w:val="22"/>
              </w:rPr>
              <w:t>Closed Commitment</w:t>
            </w:r>
          </w:p>
        </w:tc>
        <w:tc>
          <w:tcPr>
            <w:tcW w:w="2151" w:type="dxa"/>
            <w:tcBorders>
              <w:bottom w:val="single" w:sz="4" w:space="0" w:color="auto"/>
            </w:tcBorders>
          </w:tcPr>
          <w:p w14:paraId="329BB0B7" w14:textId="331C0E37" w:rsidR="00674815" w:rsidRPr="003B0F09" w:rsidRDefault="00274478" w:rsidP="00F554CF">
            <w:pPr>
              <w:rPr>
                <w:sz w:val="22"/>
                <w:szCs w:val="22"/>
              </w:rPr>
            </w:pPr>
            <w:r w:rsidRPr="003B0F09">
              <w:rPr>
                <w:sz w:val="22"/>
                <w:szCs w:val="22"/>
              </w:rPr>
              <w:t>All</w:t>
            </w:r>
            <w:r w:rsidR="00674815" w:rsidRPr="003B0F09">
              <w:rPr>
                <w:sz w:val="22"/>
                <w:szCs w:val="22"/>
              </w:rPr>
              <w:t xml:space="preserve"> Commitment</w:t>
            </w:r>
          </w:p>
        </w:tc>
        <w:tc>
          <w:tcPr>
            <w:tcW w:w="1539" w:type="dxa"/>
            <w:tcBorders>
              <w:bottom w:val="single" w:sz="4" w:space="0" w:color="auto"/>
            </w:tcBorders>
          </w:tcPr>
          <w:p w14:paraId="19D724B7" w14:textId="54B69F5E" w:rsidR="00674815" w:rsidRPr="003B0F09" w:rsidRDefault="00274478" w:rsidP="00F554CF">
            <w:pPr>
              <w:rPr>
                <w:sz w:val="22"/>
                <w:szCs w:val="22"/>
              </w:rPr>
            </w:pPr>
            <w:r w:rsidRPr="003B0F09">
              <w:rPr>
                <w:sz w:val="22"/>
                <w:szCs w:val="22"/>
              </w:rPr>
              <w:t>Closure</w:t>
            </w:r>
            <w:r w:rsidR="00674815" w:rsidRPr="003B0F09">
              <w:rPr>
                <w:sz w:val="22"/>
                <w:szCs w:val="22"/>
              </w:rPr>
              <w:t xml:space="preserve"> (%)</w:t>
            </w:r>
          </w:p>
        </w:tc>
      </w:tr>
      <w:tr w:rsidR="00274478" w14:paraId="45F73334" w14:textId="77777777" w:rsidTr="00620436">
        <w:trPr>
          <w:jc w:val="center"/>
        </w:trPr>
        <w:tc>
          <w:tcPr>
            <w:tcW w:w="1548" w:type="dxa"/>
            <w:tcBorders>
              <w:bottom w:val="nil"/>
            </w:tcBorders>
          </w:tcPr>
          <w:p w14:paraId="697388F3" w14:textId="08C4AA41" w:rsidR="00274478" w:rsidRPr="003B0F09" w:rsidRDefault="00274478" w:rsidP="00EB2D02">
            <w:pPr>
              <w:rPr>
                <w:sz w:val="22"/>
                <w:szCs w:val="22"/>
              </w:rPr>
            </w:pPr>
            <w:r w:rsidRPr="003B0F09">
              <w:rPr>
                <w:sz w:val="22"/>
                <w:szCs w:val="22"/>
              </w:rPr>
              <w:t>Non-Retail</w:t>
            </w:r>
          </w:p>
        </w:tc>
        <w:tc>
          <w:tcPr>
            <w:tcW w:w="2070" w:type="dxa"/>
            <w:tcBorders>
              <w:bottom w:val="nil"/>
            </w:tcBorders>
          </w:tcPr>
          <w:p w14:paraId="1059BB8E" w14:textId="7D0CCA23" w:rsidR="00274478" w:rsidRPr="003B0F09" w:rsidRDefault="00274478" w:rsidP="00EB2D02">
            <w:pPr>
              <w:rPr>
                <w:sz w:val="22"/>
                <w:szCs w:val="22"/>
              </w:rPr>
            </w:pPr>
            <w:proofErr w:type="spellStart"/>
            <w:r w:rsidRPr="003B0F09">
              <w:rPr>
                <w:sz w:val="22"/>
                <w:szCs w:val="22"/>
              </w:rPr>
              <w:t>Seg</w:t>
            </w:r>
            <w:proofErr w:type="spellEnd"/>
            <w:r w:rsidRPr="003B0F09">
              <w:rPr>
                <w:sz w:val="22"/>
                <w:szCs w:val="22"/>
              </w:rPr>
              <w:t xml:space="preserve"> 1, 2, 3, 4, 5, 7</w:t>
            </w:r>
          </w:p>
        </w:tc>
        <w:tc>
          <w:tcPr>
            <w:tcW w:w="2250" w:type="dxa"/>
            <w:tcBorders>
              <w:bottom w:val="nil"/>
            </w:tcBorders>
            <w:vAlign w:val="center"/>
          </w:tcPr>
          <w:p w14:paraId="5D7CF1ED" w14:textId="03357467" w:rsidR="00274478" w:rsidRPr="003B0F09" w:rsidRDefault="00274478" w:rsidP="00620436">
            <w:pPr>
              <w:jc w:val="right"/>
              <w:rPr>
                <w:sz w:val="22"/>
                <w:szCs w:val="22"/>
              </w:rPr>
            </w:pPr>
            <w:r w:rsidRPr="003B0F09">
              <w:rPr>
                <w:color w:val="000000"/>
                <w:sz w:val="22"/>
                <w:szCs w:val="22"/>
              </w:rPr>
              <w:t>2,123,853,704</w:t>
            </w:r>
          </w:p>
        </w:tc>
        <w:tc>
          <w:tcPr>
            <w:tcW w:w="2151" w:type="dxa"/>
            <w:tcBorders>
              <w:bottom w:val="nil"/>
            </w:tcBorders>
            <w:vAlign w:val="center"/>
          </w:tcPr>
          <w:p w14:paraId="1D5A0BE8" w14:textId="11CE9366" w:rsidR="00274478" w:rsidRPr="003B0F09" w:rsidRDefault="00274478" w:rsidP="00620436">
            <w:pPr>
              <w:jc w:val="right"/>
              <w:rPr>
                <w:sz w:val="22"/>
                <w:szCs w:val="22"/>
              </w:rPr>
            </w:pPr>
            <w:r w:rsidRPr="003B0F09">
              <w:rPr>
                <w:color w:val="000000"/>
                <w:sz w:val="22"/>
                <w:szCs w:val="22"/>
              </w:rPr>
              <w:t xml:space="preserve">75,063,035,203 </w:t>
            </w:r>
          </w:p>
        </w:tc>
        <w:tc>
          <w:tcPr>
            <w:tcW w:w="1539" w:type="dxa"/>
            <w:tcBorders>
              <w:bottom w:val="nil"/>
            </w:tcBorders>
            <w:vAlign w:val="center"/>
          </w:tcPr>
          <w:p w14:paraId="228791F5" w14:textId="1BD07463" w:rsidR="00274478" w:rsidRPr="003B0F09" w:rsidRDefault="00274478" w:rsidP="00620436">
            <w:pPr>
              <w:jc w:val="right"/>
              <w:rPr>
                <w:sz w:val="22"/>
                <w:szCs w:val="22"/>
              </w:rPr>
            </w:pPr>
            <w:r w:rsidRPr="003B0F09">
              <w:rPr>
                <w:color w:val="000000"/>
                <w:sz w:val="22"/>
                <w:szCs w:val="22"/>
              </w:rPr>
              <w:t>29.14</w:t>
            </w:r>
          </w:p>
        </w:tc>
      </w:tr>
      <w:tr w:rsidR="00274478" w14:paraId="449BFD1E" w14:textId="77777777" w:rsidTr="00620436">
        <w:trPr>
          <w:jc w:val="center"/>
        </w:trPr>
        <w:tc>
          <w:tcPr>
            <w:tcW w:w="1548" w:type="dxa"/>
            <w:tcBorders>
              <w:top w:val="nil"/>
            </w:tcBorders>
          </w:tcPr>
          <w:p w14:paraId="37742B81" w14:textId="3059287D" w:rsidR="00274478" w:rsidRPr="003B0F09" w:rsidRDefault="00274478" w:rsidP="00EB2D02">
            <w:pPr>
              <w:rPr>
                <w:sz w:val="22"/>
                <w:szCs w:val="22"/>
              </w:rPr>
            </w:pPr>
            <w:r w:rsidRPr="003B0F09">
              <w:rPr>
                <w:sz w:val="22"/>
                <w:szCs w:val="22"/>
              </w:rPr>
              <w:t>Retail</w:t>
            </w:r>
          </w:p>
        </w:tc>
        <w:tc>
          <w:tcPr>
            <w:tcW w:w="2070" w:type="dxa"/>
            <w:tcBorders>
              <w:top w:val="nil"/>
            </w:tcBorders>
          </w:tcPr>
          <w:p w14:paraId="2105B407" w14:textId="10E91125" w:rsidR="00274478" w:rsidRPr="003B0F09" w:rsidRDefault="00274478" w:rsidP="00EB2D02">
            <w:pPr>
              <w:rPr>
                <w:sz w:val="22"/>
                <w:szCs w:val="22"/>
              </w:rPr>
            </w:pPr>
            <w:proofErr w:type="spellStart"/>
            <w:r w:rsidRPr="003B0F09">
              <w:rPr>
                <w:sz w:val="22"/>
                <w:szCs w:val="22"/>
              </w:rPr>
              <w:t>Seg</w:t>
            </w:r>
            <w:proofErr w:type="spellEnd"/>
            <w:r w:rsidRPr="003B0F09">
              <w:rPr>
                <w:sz w:val="22"/>
                <w:szCs w:val="22"/>
              </w:rPr>
              <w:t xml:space="preserve"> 6</w:t>
            </w:r>
          </w:p>
        </w:tc>
        <w:tc>
          <w:tcPr>
            <w:tcW w:w="2250" w:type="dxa"/>
            <w:tcBorders>
              <w:top w:val="nil"/>
            </w:tcBorders>
            <w:vAlign w:val="center"/>
          </w:tcPr>
          <w:p w14:paraId="72D83DA4" w14:textId="34BF3822" w:rsidR="00274478" w:rsidRPr="003B0F09" w:rsidRDefault="00274478" w:rsidP="00620436">
            <w:pPr>
              <w:jc w:val="right"/>
              <w:rPr>
                <w:sz w:val="22"/>
                <w:szCs w:val="22"/>
              </w:rPr>
            </w:pPr>
            <w:r w:rsidRPr="003B0F09">
              <w:rPr>
                <w:color w:val="000000"/>
                <w:sz w:val="22"/>
                <w:szCs w:val="22"/>
              </w:rPr>
              <w:t>21,404,955</w:t>
            </w:r>
          </w:p>
        </w:tc>
        <w:tc>
          <w:tcPr>
            <w:tcW w:w="2151" w:type="dxa"/>
            <w:tcBorders>
              <w:top w:val="nil"/>
            </w:tcBorders>
            <w:vAlign w:val="center"/>
          </w:tcPr>
          <w:p w14:paraId="6CC1B942" w14:textId="71C4466C" w:rsidR="00274478" w:rsidRPr="003B0F09" w:rsidRDefault="00274478" w:rsidP="00620436">
            <w:pPr>
              <w:jc w:val="right"/>
              <w:rPr>
                <w:sz w:val="22"/>
                <w:szCs w:val="22"/>
              </w:rPr>
            </w:pPr>
            <w:r w:rsidRPr="003B0F09">
              <w:rPr>
                <w:color w:val="000000"/>
                <w:sz w:val="22"/>
                <w:szCs w:val="22"/>
              </w:rPr>
              <w:t xml:space="preserve">1,256,180,274 </w:t>
            </w:r>
          </w:p>
        </w:tc>
        <w:tc>
          <w:tcPr>
            <w:tcW w:w="1539" w:type="dxa"/>
            <w:tcBorders>
              <w:top w:val="nil"/>
            </w:tcBorders>
            <w:vAlign w:val="center"/>
          </w:tcPr>
          <w:p w14:paraId="5EECFC68" w14:textId="798F44A5" w:rsidR="00274478" w:rsidRPr="003B0F09" w:rsidRDefault="00274478" w:rsidP="00620436">
            <w:pPr>
              <w:jc w:val="right"/>
              <w:rPr>
                <w:sz w:val="22"/>
                <w:szCs w:val="22"/>
              </w:rPr>
            </w:pPr>
            <w:r w:rsidRPr="003B0F09">
              <w:rPr>
                <w:color w:val="000000"/>
                <w:sz w:val="22"/>
                <w:szCs w:val="22"/>
              </w:rPr>
              <w:t>18.64</w:t>
            </w:r>
          </w:p>
        </w:tc>
      </w:tr>
      <w:tr w:rsidR="00674815" w14:paraId="7BDE3BF1" w14:textId="77777777" w:rsidTr="00620436">
        <w:trPr>
          <w:jc w:val="center"/>
        </w:trPr>
        <w:tc>
          <w:tcPr>
            <w:tcW w:w="3618" w:type="dxa"/>
            <w:gridSpan w:val="2"/>
          </w:tcPr>
          <w:p w14:paraId="71901CFC" w14:textId="77777777" w:rsidR="00674815" w:rsidRPr="003B0F09" w:rsidRDefault="00674815" w:rsidP="00EB2D02">
            <w:pPr>
              <w:rPr>
                <w:sz w:val="22"/>
                <w:szCs w:val="22"/>
              </w:rPr>
            </w:pPr>
            <w:r w:rsidRPr="003B0F09">
              <w:rPr>
                <w:sz w:val="22"/>
                <w:szCs w:val="22"/>
              </w:rPr>
              <w:t>Total</w:t>
            </w:r>
          </w:p>
        </w:tc>
        <w:tc>
          <w:tcPr>
            <w:tcW w:w="2250" w:type="dxa"/>
            <w:vAlign w:val="center"/>
          </w:tcPr>
          <w:p w14:paraId="40B4F299" w14:textId="26D94A58" w:rsidR="00674815" w:rsidRPr="003B0F09" w:rsidRDefault="00274478" w:rsidP="00620436">
            <w:pPr>
              <w:jc w:val="right"/>
              <w:rPr>
                <w:color w:val="000000"/>
                <w:sz w:val="22"/>
                <w:szCs w:val="22"/>
              </w:rPr>
            </w:pPr>
            <w:r w:rsidRPr="003B0F09">
              <w:rPr>
                <w:color w:val="000000"/>
                <w:sz w:val="22"/>
                <w:szCs w:val="22"/>
              </w:rPr>
              <w:t xml:space="preserve">2,145,258,659 </w:t>
            </w:r>
          </w:p>
        </w:tc>
        <w:tc>
          <w:tcPr>
            <w:tcW w:w="2151" w:type="dxa"/>
            <w:vAlign w:val="center"/>
          </w:tcPr>
          <w:p w14:paraId="78CBA594" w14:textId="7905E237" w:rsidR="00674815" w:rsidRPr="003B0F09" w:rsidRDefault="00674815" w:rsidP="00620436">
            <w:pPr>
              <w:jc w:val="right"/>
              <w:rPr>
                <w:color w:val="000000"/>
                <w:sz w:val="22"/>
                <w:szCs w:val="22"/>
              </w:rPr>
            </w:pPr>
            <w:r w:rsidRPr="003B0F09">
              <w:rPr>
                <w:color w:val="000000"/>
                <w:sz w:val="22"/>
                <w:szCs w:val="22"/>
              </w:rPr>
              <w:t xml:space="preserve">76,319,215,478 </w:t>
            </w:r>
          </w:p>
        </w:tc>
        <w:tc>
          <w:tcPr>
            <w:tcW w:w="1539" w:type="dxa"/>
            <w:vAlign w:val="center"/>
          </w:tcPr>
          <w:p w14:paraId="379C2257" w14:textId="77777777" w:rsidR="00674815" w:rsidRPr="003B0F09" w:rsidRDefault="00674815" w:rsidP="00620436">
            <w:pPr>
              <w:keepNext/>
              <w:jc w:val="right"/>
              <w:rPr>
                <w:sz w:val="22"/>
                <w:szCs w:val="22"/>
              </w:rPr>
            </w:pPr>
          </w:p>
        </w:tc>
      </w:tr>
    </w:tbl>
    <w:p w14:paraId="6B75C2E6" w14:textId="14DD4383" w:rsidR="00674815" w:rsidRDefault="009D609B" w:rsidP="009D609B">
      <w:pPr>
        <w:pStyle w:val="Caption"/>
      </w:pPr>
      <w:bookmarkStart w:id="1" w:name="_Ref519500378"/>
      <w:r>
        <w:t xml:space="preserve">Figure </w:t>
      </w:r>
      <w:r w:rsidR="001B0814">
        <w:fldChar w:fldCharType="begin"/>
      </w:r>
      <w:r w:rsidR="001B0814">
        <w:instrText xml:space="preserve"> SEQ Figure \* ARABIC </w:instrText>
      </w:r>
      <w:r w:rsidR="001B0814">
        <w:fldChar w:fldCharType="separate"/>
      </w:r>
      <w:r w:rsidR="004566BD">
        <w:rPr>
          <w:noProof/>
        </w:rPr>
        <w:t>2</w:t>
      </w:r>
      <w:r w:rsidR="001B0814">
        <w:rPr>
          <w:noProof/>
        </w:rPr>
        <w:fldChar w:fldCharType="end"/>
      </w:r>
      <w:bookmarkEnd w:id="1"/>
      <w:r>
        <w:t>: Current Segmentation for Closure Rate as of 5/31/2018</w:t>
      </w:r>
    </w:p>
    <w:p w14:paraId="7E713941" w14:textId="77777777" w:rsidR="009D609B" w:rsidRPr="009D609B" w:rsidRDefault="009D609B" w:rsidP="009D609B"/>
    <w:p w14:paraId="78DD20A2" w14:textId="5C59DD32" w:rsidR="00AA29BC" w:rsidRDefault="00163A06" w:rsidP="00A2620D">
      <w:pPr>
        <w:pStyle w:val="Heading2"/>
      </w:pPr>
      <w:r>
        <w:t>Proposed Segmentation</w:t>
      </w:r>
      <w:r w:rsidR="009D609B">
        <w:t xml:space="preserve"> for Utilization Rate</w:t>
      </w:r>
    </w:p>
    <w:p w14:paraId="7E87ADF6" w14:textId="77777777" w:rsidR="009D609B" w:rsidRDefault="009D609B" w:rsidP="00297C22"/>
    <w:p w14:paraId="34A08A1D" w14:textId="6968EA48" w:rsidR="00274478" w:rsidRDefault="00274478" w:rsidP="00297C22">
      <w:r>
        <w:t>The proposed segmentation is very similar to the current segmentation. The utilization rate is reported by line of business</w:t>
      </w:r>
      <w:r w:rsidR="005D6246">
        <w:t xml:space="preserve"> (LOB)</w:t>
      </w:r>
      <w:r>
        <w:t xml:space="preserve">, so it is </w:t>
      </w:r>
      <w:r w:rsidR="00EB2D02">
        <w:t>beneficial</w:t>
      </w:r>
      <w:r>
        <w:t xml:space="preserve"> to keep the segmentation with respect to different line of business. </w:t>
      </w:r>
      <w:r w:rsidR="005D6246">
        <w:t>The LOB of</w:t>
      </w:r>
      <w:r>
        <w:t xml:space="preserve"> BBK Regional </w:t>
      </w:r>
      <w:r w:rsidR="005D6246">
        <w:t xml:space="preserve">has been moved back to commercial </w:t>
      </w:r>
      <w:r w:rsidR="005D6246">
        <w:lastRenderedPageBreak/>
        <w:t>(CML) in recent month, so model user proposed to move BBK Regional to Segmentation 3</w:t>
      </w:r>
      <w:r w:rsidR="00EB2D02">
        <w:t xml:space="preserve"> </w:t>
      </w:r>
      <w:r w:rsidR="005D6246">
        <w:t xml:space="preserve">to be included in the </w:t>
      </w:r>
      <w:r w:rsidR="00EB2D02">
        <w:t>CML</w:t>
      </w:r>
      <w:r w:rsidR="005D6246">
        <w:t xml:space="preserve"> LOB</w:t>
      </w:r>
      <w:r w:rsidR="00CB5350">
        <w:rPr>
          <w:rStyle w:val="FootnoteReference"/>
        </w:rPr>
        <w:footnoteReference w:id="3"/>
      </w:r>
      <w:r w:rsidR="005D6246">
        <w:t>.</w:t>
      </w:r>
      <w:r w:rsidR="00844312">
        <w:t xml:space="preserve"> The highlighted items have been updated from the proposed segmentation.</w:t>
      </w:r>
    </w:p>
    <w:p w14:paraId="504C17B6" w14:textId="77777777" w:rsidR="005D6246" w:rsidRDefault="005D6246" w:rsidP="00297C22"/>
    <w:tbl>
      <w:tblPr>
        <w:tblStyle w:val="TableGrid"/>
        <w:tblW w:w="9009" w:type="dxa"/>
        <w:jc w:val="center"/>
        <w:tblLayout w:type="fixed"/>
        <w:tblLook w:val="04A0" w:firstRow="1" w:lastRow="0" w:firstColumn="1" w:lastColumn="0" w:noHBand="0" w:noVBand="1"/>
      </w:tblPr>
      <w:tblGrid>
        <w:gridCol w:w="1188"/>
        <w:gridCol w:w="2520"/>
        <w:gridCol w:w="1701"/>
        <w:gridCol w:w="1980"/>
        <w:gridCol w:w="1620"/>
      </w:tblGrid>
      <w:tr w:rsidR="005D6246" w14:paraId="60464759" w14:textId="77777777" w:rsidTr="00D76C8D">
        <w:trPr>
          <w:jc w:val="center"/>
        </w:trPr>
        <w:tc>
          <w:tcPr>
            <w:tcW w:w="1188" w:type="dxa"/>
            <w:tcBorders>
              <w:bottom w:val="single" w:sz="4" w:space="0" w:color="auto"/>
            </w:tcBorders>
          </w:tcPr>
          <w:p w14:paraId="51C9F0CF" w14:textId="77777777" w:rsidR="005D6246" w:rsidRPr="003B0F09" w:rsidRDefault="005D6246" w:rsidP="00F554CF">
            <w:pPr>
              <w:rPr>
                <w:sz w:val="22"/>
                <w:szCs w:val="22"/>
              </w:rPr>
            </w:pPr>
            <w:r w:rsidRPr="003B0F09">
              <w:rPr>
                <w:sz w:val="22"/>
                <w:szCs w:val="22"/>
              </w:rPr>
              <w:t>Segment</w:t>
            </w:r>
          </w:p>
        </w:tc>
        <w:tc>
          <w:tcPr>
            <w:tcW w:w="2520" w:type="dxa"/>
            <w:tcBorders>
              <w:bottom w:val="single" w:sz="4" w:space="0" w:color="auto"/>
            </w:tcBorders>
          </w:tcPr>
          <w:p w14:paraId="4B281EC6" w14:textId="77777777" w:rsidR="005D6246" w:rsidRPr="003B0F09" w:rsidRDefault="005D6246" w:rsidP="00F554CF">
            <w:pPr>
              <w:rPr>
                <w:sz w:val="22"/>
                <w:szCs w:val="22"/>
              </w:rPr>
            </w:pPr>
            <w:r w:rsidRPr="003B0F09">
              <w:rPr>
                <w:sz w:val="22"/>
                <w:szCs w:val="22"/>
              </w:rPr>
              <w:t>Lines of Business</w:t>
            </w:r>
          </w:p>
        </w:tc>
        <w:tc>
          <w:tcPr>
            <w:tcW w:w="1701" w:type="dxa"/>
            <w:tcBorders>
              <w:bottom w:val="single" w:sz="4" w:space="0" w:color="auto"/>
            </w:tcBorders>
          </w:tcPr>
          <w:p w14:paraId="5D316925" w14:textId="77777777" w:rsidR="005D6246" w:rsidRPr="003B0F09" w:rsidRDefault="005D6246" w:rsidP="00F554CF">
            <w:pPr>
              <w:rPr>
                <w:sz w:val="22"/>
                <w:szCs w:val="22"/>
              </w:rPr>
            </w:pPr>
            <w:r w:rsidRPr="003B0F09">
              <w:rPr>
                <w:sz w:val="22"/>
                <w:szCs w:val="22"/>
              </w:rPr>
              <w:t>Funded Balance</w:t>
            </w:r>
          </w:p>
        </w:tc>
        <w:tc>
          <w:tcPr>
            <w:tcW w:w="1980" w:type="dxa"/>
            <w:tcBorders>
              <w:bottom w:val="single" w:sz="4" w:space="0" w:color="auto"/>
            </w:tcBorders>
          </w:tcPr>
          <w:p w14:paraId="4B9B9AC4" w14:textId="77777777" w:rsidR="005D6246" w:rsidRPr="003B0F09" w:rsidRDefault="005D6246" w:rsidP="00F554CF">
            <w:pPr>
              <w:rPr>
                <w:sz w:val="22"/>
                <w:szCs w:val="22"/>
              </w:rPr>
            </w:pPr>
            <w:r w:rsidRPr="003B0F09">
              <w:rPr>
                <w:sz w:val="22"/>
                <w:szCs w:val="22"/>
              </w:rPr>
              <w:t>Total Commitment</w:t>
            </w:r>
          </w:p>
        </w:tc>
        <w:tc>
          <w:tcPr>
            <w:tcW w:w="1620" w:type="dxa"/>
            <w:tcBorders>
              <w:bottom w:val="single" w:sz="4" w:space="0" w:color="auto"/>
            </w:tcBorders>
          </w:tcPr>
          <w:p w14:paraId="2B8D2161" w14:textId="77777777" w:rsidR="005D6246" w:rsidRPr="003B0F09" w:rsidRDefault="005D6246" w:rsidP="00F554CF">
            <w:pPr>
              <w:rPr>
                <w:sz w:val="22"/>
                <w:szCs w:val="22"/>
              </w:rPr>
            </w:pPr>
            <w:r w:rsidRPr="003B0F09">
              <w:rPr>
                <w:sz w:val="22"/>
                <w:szCs w:val="22"/>
              </w:rPr>
              <w:t>Utilization (%)</w:t>
            </w:r>
          </w:p>
        </w:tc>
      </w:tr>
      <w:tr w:rsidR="005D6246" w14:paraId="30D7F3BD" w14:textId="77777777" w:rsidTr="00D76C8D">
        <w:trPr>
          <w:jc w:val="center"/>
        </w:trPr>
        <w:tc>
          <w:tcPr>
            <w:tcW w:w="1188" w:type="dxa"/>
            <w:tcBorders>
              <w:bottom w:val="nil"/>
            </w:tcBorders>
          </w:tcPr>
          <w:p w14:paraId="032C1B9E" w14:textId="77777777" w:rsidR="005D6246" w:rsidRPr="003B0F09" w:rsidRDefault="005D6246" w:rsidP="00F554CF">
            <w:pPr>
              <w:rPr>
                <w:sz w:val="22"/>
                <w:szCs w:val="22"/>
              </w:rPr>
            </w:pPr>
            <w:r w:rsidRPr="003B0F09">
              <w:rPr>
                <w:sz w:val="22"/>
                <w:szCs w:val="22"/>
              </w:rPr>
              <w:t>1</w:t>
            </w:r>
          </w:p>
        </w:tc>
        <w:tc>
          <w:tcPr>
            <w:tcW w:w="2520" w:type="dxa"/>
            <w:tcBorders>
              <w:bottom w:val="nil"/>
            </w:tcBorders>
          </w:tcPr>
          <w:p w14:paraId="4E2C40A8" w14:textId="77777777" w:rsidR="005D6246" w:rsidRPr="003B0F09" w:rsidRDefault="005D6246" w:rsidP="00F554CF">
            <w:pPr>
              <w:rPr>
                <w:sz w:val="22"/>
                <w:szCs w:val="22"/>
              </w:rPr>
            </w:pPr>
            <w:r w:rsidRPr="003B0F09">
              <w:rPr>
                <w:sz w:val="22"/>
                <w:szCs w:val="22"/>
              </w:rPr>
              <w:t>Floor Plan</w:t>
            </w:r>
          </w:p>
        </w:tc>
        <w:tc>
          <w:tcPr>
            <w:tcW w:w="1701" w:type="dxa"/>
            <w:tcBorders>
              <w:bottom w:val="nil"/>
            </w:tcBorders>
            <w:vAlign w:val="center"/>
          </w:tcPr>
          <w:p w14:paraId="12B95915" w14:textId="2B4B72E9" w:rsidR="005D6246" w:rsidRPr="003B0F09" w:rsidRDefault="005D6246" w:rsidP="00D76C8D">
            <w:pPr>
              <w:jc w:val="right"/>
              <w:rPr>
                <w:sz w:val="22"/>
                <w:szCs w:val="22"/>
              </w:rPr>
            </w:pPr>
            <w:r w:rsidRPr="003B0F09">
              <w:rPr>
                <w:color w:val="000000"/>
                <w:sz w:val="22"/>
                <w:szCs w:val="22"/>
              </w:rPr>
              <w:t xml:space="preserve">3,394,101,639 </w:t>
            </w:r>
          </w:p>
        </w:tc>
        <w:tc>
          <w:tcPr>
            <w:tcW w:w="1980" w:type="dxa"/>
            <w:tcBorders>
              <w:bottom w:val="nil"/>
            </w:tcBorders>
            <w:vAlign w:val="center"/>
          </w:tcPr>
          <w:p w14:paraId="6B9B4242" w14:textId="756CB0FB" w:rsidR="005D6246" w:rsidRPr="003B0F09" w:rsidRDefault="005D6246" w:rsidP="00D76C8D">
            <w:pPr>
              <w:jc w:val="right"/>
              <w:rPr>
                <w:sz w:val="22"/>
                <w:szCs w:val="22"/>
              </w:rPr>
            </w:pPr>
            <w:r w:rsidRPr="003B0F09">
              <w:rPr>
                <w:color w:val="000000"/>
                <w:sz w:val="22"/>
                <w:szCs w:val="22"/>
              </w:rPr>
              <w:t xml:space="preserve">4,927,388,636 </w:t>
            </w:r>
          </w:p>
        </w:tc>
        <w:tc>
          <w:tcPr>
            <w:tcW w:w="1620" w:type="dxa"/>
            <w:tcBorders>
              <w:bottom w:val="nil"/>
            </w:tcBorders>
            <w:vAlign w:val="center"/>
          </w:tcPr>
          <w:p w14:paraId="3E49D0B1" w14:textId="77777777" w:rsidR="005D6246" w:rsidRPr="003B0F09" w:rsidRDefault="005D6246" w:rsidP="00620436">
            <w:pPr>
              <w:jc w:val="right"/>
              <w:rPr>
                <w:sz w:val="22"/>
                <w:szCs w:val="22"/>
              </w:rPr>
            </w:pPr>
            <w:r w:rsidRPr="003B0F09">
              <w:rPr>
                <w:color w:val="000000"/>
                <w:sz w:val="22"/>
                <w:szCs w:val="22"/>
              </w:rPr>
              <w:t>68.88</w:t>
            </w:r>
          </w:p>
        </w:tc>
      </w:tr>
      <w:tr w:rsidR="005D6246" w14:paraId="67B268AA" w14:textId="77777777" w:rsidTr="00D76C8D">
        <w:trPr>
          <w:jc w:val="center"/>
        </w:trPr>
        <w:tc>
          <w:tcPr>
            <w:tcW w:w="1188" w:type="dxa"/>
            <w:tcBorders>
              <w:top w:val="nil"/>
              <w:bottom w:val="nil"/>
            </w:tcBorders>
          </w:tcPr>
          <w:p w14:paraId="67AE608A" w14:textId="77777777" w:rsidR="005D6246" w:rsidRPr="003B0F09" w:rsidRDefault="005D6246" w:rsidP="00F554CF">
            <w:pPr>
              <w:rPr>
                <w:sz w:val="22"/>
                <w:szCs w:val="22"/>
              </w:rPr>
            </w:pPr>
            <w:r w:rsidRPr="003B0F09">
              <w:rPr>
                <w:sz w:val="22"/>
                <w:szCs w:val="22"/>
              </w:rPr>
              <w:t>2</w:t>
            </w:r>
          </w:p>
        </w:tc>
        <w:tc>
          <w:tcPr>
            <w:tcW w:w="2520" w:type="dxa"/>
            <w:tcBorders>
              <w:top w:val="nil"/>
              <w:bottom w:val="nil"/>
            </w:tcBorders>
          </w:tcPr>
          <w:p w14:paraId="27BA87E5" w14:textId="77777777" w:rsidR="005D6246" w:rsidRPr="003B0F09" w:rsidRDefault="005D6246" w:rsidP="00F554CF">
            <w:pPr>
              <w:rPr>
                <w:sz w:val="22"/>
                <w:szCs w:val="22"/>
              </w:rPr>
            </w:pPr>
            <w:r w:rsidRPr="003B0F09">
              <w:rPr>
                <w:sz w:val="22"/>
                <w:szCs w:val="22"/>
              </w:rPr>
              <w:t xml:space="preserve">CIB </w:t>
            </w:r>
          </w:p>
          <w:p w14:paraId="39FC1609" w14:textId="7AD80706" w:rsidR="005D6246" w:rsidRPr="003B0F09" w:rsidRDefault="005D6246" w:rsidP="00620436">
            <w:pPr>
              <w:rPr>
                <w:sz w:val="22"/>
                <w:szCs w:val="22"/>
              </w:rPr>
            </w:pPr>
            <w:r w:rsidRPr="003B0F09">
              <w:rPr>
                <w:sz w:val="22"/>
                <w:szCs w:val="22"/>
              </w:rPr>
              <w:t>(excl</w:t>
            </w:r>
            <w:r w:rsidR="00620436">
              <w:rPr>
                <w:sz w:val="22"/>
                <w:szCs w:val="22"/>
              </w:rPr>
              <w:t>.</w:t>
            </w:r>
            <w:r w:rsidRPr="003B0F09">
              <w:rPr>
                <w:sz w:val="22"/>
                <w:szCs w:val="22"/>
              </w:rPr>
              <w:t xml:space="preserve"> ABL, ASG)</w:t>
            </w:r>
          </w:p>
        </w:tc>
        <w:tc>
          <w:tcPr>
            <w:tcW w:w="1701" w:type="dxa"/>
            <w:tcBorders>
              <w:top w:val="nil"/>
              <w:bottom w:val="nil"/>
            </w:tcBorders>
            <w:vAlign w:val="center"/>
          </w:tcPr>
          <w:p w14:paraId="16E639CE" w14:textId="08841D1B" w:rsidR="005D6246" w:rsidRPr="003B0F09" w:rsidRDefault="005D6246" w:rsidP="00D76C8D">
            <w:pPr>
              <w:jc w:val="right"/>
              <w:rPr>
                <w:sz w:val="22"/>
                <w:szCs w:val="22"/>
              </w:rPr>
            </w:pPr>
            <w:r w:rsidRPr="003B0F09">
              <w:rPr>
                <w:color w:val="000000"/>
                <w:sz w:val="22"/>
                <w:szCs w:val="22"/>
              </w:rPr>
              <w:t xml:space="preserve">8,871,402,349 </w:t>
            </w:r>
          </w:p>
        </w:tc>
        <w:tc>
          <w:tcPr>
            <w:tcW w:w="1980" w:type="dxa"/>
            <w:tcBorders>
              <w:top w:val="nil"/>
              <w:bottom w:val="nil"/>
            </w:tcBorders>
            <w:vAlign w:val="center"/>
          </w:tcPr>
          <w:p w14:paraId="194441D8" w14:textId="7E148CDB" w:rsidR="005D6246" w:rsidRPr="003B0F09" w:rsidRDefault="005D6246" w:rsidP="00D76C8D">
            <w:pPr>
              <w:jc w:val="right"/>
              <w:rPr>
                <w:sz w:val="22"/>
                <w:szCs w:val="22"/>
              </w:rPr>
            </w:pPr>
            <w:r w:rsidRPr="003B0F09">
              <w:rPr>
                <w:color w:val="000000"/>
                <w:sz w:val="22"/>
                <w:szCs w:val="22"/>
              </w:rPr>
              <w:t xml:space="preserve">42,941,261,543 </w:t>
            </w:r>
          </w:p>
        </w:tc>
        <w:tc>
          <w:tcPr>
            <w:tcW w:w="1620" w:type="dxa"/>
            <w:tcBorders>
              <w:top w:val="nil"/>
              <w:bottom w:val="nil"/>
            </w:tcBorders>
            <w:vAlign w:val="center"/>
          </w:tcPr>
          <w:p w14:paraId="6A9EC32C" w14:textId="77777777" w:rsidR="005D6246" w:rsidRPr="003B0F09" w:rsidRDefault="005D6246" w:rsidP="00620436">
            <w:pPr>
              <w:jc w:val="right"/>
              <w:rPr>
                <w:sz w:val="22"/>
                <w:szCs w:val="22"/>
              </w:rPr>
            </w:pPr>
            <w:r w:rsidRPr="003B0F09">
              <w:rPr>
                <w:color w:val="000000"/>
                <w:sz w:val="22"/>
                <w:szCs w:val="22"/>
              </w:rPr>
              <w:t>20.66</w:t>
            </w:r>
          </w:p>
        </w:tc>
      </w:tr>
      <w:tr w:rsidR="005D6246" w14:paraId="318F5809" w14:textId="77777777" w:rsidTr="00D76C8D">
        <w:trPr>
          <w:jc w:val="center"/>
        </w:trPr>
        <w:tc>
          <w:tcPr>
            <w:tcW w:w="1188" w:type="dxa"/>
            <w:tcBorders>
              <w:top w:val="nil"/>
              <w:bottom w:val="nil"/>
            </w:tcBorders>
          </w:tcPr>
          <w:p w14:paraId="4266415C" w14:textId="77777777" w:rsidR="005D6246" w:rsidRPr="003B0F09" w:rsidRDefault="005D6246" w:rsidP="00F554CF">
            <w:pPr>
              <w:rPr>
                <w:sz w:val="22"/>
                <w:szCs w:val="22"/>
              </w:rPr>
            </w:pPr>
            <w:r w:rsidRPr="003B0F09">
              <w:rPr>
                <w:sz w:val="22"/>
                <w:szCs w:val="22"/>
              </w:rPr>
              <w:t>3</w:t>
            </w:r>
          </w:p>
        </w:tc>
        <w:tc>
          <w:tcPr>
            <w:tcW w:w="2520" w:type="dxa"/>
            <w:tcBorders>
              <w:top w:val="nil"/>
              <w:bottom w:val="nil"/>
            </w:tcBorders>
          </w:tcPr>
          <w:p w14:paraId="67E64D12" w14:textId="77777777" w:rsidR="005D6246" w:rsidRPr="003B0F09" w:rsidRDefault="005D6246" w:rsidP="00F554CF">
            <w:pPr>
              <w:rPr>
                <w:sz w:val="22"/>
                <w:szCs w:val="22"/>
              </w:rPr>
            </w:pPr>
            <w:r w:rsidRPr="003B0F09">
              <w:rPr>
                <w:sz w:val="22"/>
                <w:szCs w:val="22"/>
              </w:rPr>
              <w:t>CML</w:t>
            </w:r>
          </w:p>
          <w:p w14:paraId="0927A5E7" w14:textId="07C06464" w:rsidR="005D6246" w:rsidRPr="003B0F09" w:rsidRDefault="005D6246" w:rsidP="00620436">
            <w:pPr>
              <w:rPr>
                <w:sz w:val="22"/>
                <w:szCs w:val="22"/>
              </w:rPr>
            </w:pPr>
            <w:r w:rsidRPr="003B0F09">
              <w:rPr>
                <w:sz w:val="22"/>
                <w:szCs w:val="22"/>
              </w:rPr>
              <w:t>(excl</w:t>
            </w:r>
            <w:r w:rsidR="00620436">
              <w:rPr>
                <w:sz w:val="22"/>
                <w:szCs w:val="22"/>
              </w:rPr>
              <w:t>.</w:t>
            </w:r>
            <w:r w:rsidRPr="003B0F09">
              <w:rPr>
                <w:sz w:val="22"/>
                <w:szCs w:val="22"/>
              </w:rPr>
              <w:t xml:space="preserve"> Floor Plan, ABL)</w:t>
            </w:r>
          </w:p>
        </w:tc>
        <w:tc>
          <w:tcPr>
            <w:tcW w:w="1701" w:type="dxa"/>
            <w:tcBorders>
              <w:top w:val="nil"/>
              <w:bottom w:val="nil"/>
            </w:tcBorders>
            <w:vAlign w:val="center"/>
          </w:tcPr>
          <w:p w14:paraId="511433C8" w14:textId="2A1ADDF9" w:rsidR="005D6246" w:rsidRPr="003B0F09" w:rsidRDefault="00571DCD" w:rsidP="00D76C8D">
            <w:pPr>
              <w:jc w:val="right"/>
              <w:rPr>
                <w:color w:val="000000"/>
                <w:sz w:val="22"/>
                <w:szCs w:val="22"/>
                <w:highlight w:val="yellow"/>
              </w:rPr>
            </w:pPr>
            <w:r w:rsidRPr="00571DCD">
              <w:rPr>
                <w:color w:val="000000"/>
                <w:sz w:val="22"/>
                <w:szCs w:val="22"/>
                <w:highlight w:val="yellow"/>
              </w:rPr>
              <w:t>3,104,137,277</w:t>
            </w:r>
          </w:p>
        </w:tc>
        <w:tc>
          <w:tcPr>
            <w:tcW w:w="1980" w:type="dxa"/>
            <w:tcBorders>
              <w:top w:val="nil"/>
              <w:bottom w:val="nil"/>
            </w:tcBorders>
            <w:vAlign w:val="center"/>
          </w:tcPr>
          <w:p w14:paraId="0F136796" w14:textId="52CA8AD3" w:rsidR="005D6246" w:rsidRPr="003B0F09" w:rsidRDefault="00571DCD" w:rsidP="00D76C8D">
            <w:pPr>
              <w:jc w:val="right"/>
              <w:rPr>
                <w:color w:val="000000"/>
                <w:sz w:val="22"/>
                <w:szCs w:val="22"/>
                <w:highlight w:val="yellow"/>
              </w:rPr>
            </w:pPr>
            <w:r w:rsidRPr="00571DCD">
              <w:rPr>
                <w:color w:val="000000"/>
                <w:sz w:val="22"/>
                <w:szCs w:val="22"/>
                <w:highlight w:val="yellow"/>
              </w:rPr>
              <w:t>8,755,438,903</w:t>
            </w:r>
            <w:r w:rsidR="005D6246" w:rsidRPr="003B0F09">
              <w:rPr>
                <w:color w:val="000000"/>
                <w:sz w:val="22"/>
                <w:szCs w:val="22"/>
                <w:highlight w:val="yellow"/>
              </w:rPr>
              <w:t xml:space="preserve"> </w:t>
            </w:r>
          </w:p>
        </w:tc>
        <w:tc>
          <w:tcPr>
            <w:tcW w:w="1620" w:type="dxa"/>
            <w:tcBorders>
              <w:top w:val="nil"/>
              <w:bottom w:val="nil"/>
            </w:tcBorders>
            <w:vAlign w:val="center"/>
          </w:tcPr>
          <w:p w14:paraId="7679967E" w14:textId="7B7D89BD" w:rsidR="005D6246" w:rsidRPr="003B0F09" w:rsidRDefault="005D6246" w:rsidP="00571DCD">
            <w:pPr>
              <w:jc w:val="right"/>
              <w:rPr>
                <w:sz w:val="22"/>
                <w:szCs w:val="22"/>
                <w:highlight w:val="yellow"/>
              </w:rPr>
            </w:pPr>
            <w:r w:rsidRPr="003B0F09">
              <w:rPr>
                <w:color w:val="000000"/>
                <w:sz w:val="22"/>
                <w:szCs w:val="22"/>
                <w:highlight w:val="yellow"/>
              </w:rPr>
              <w:t>35.</w:t>
            </w:r>
            <w:r w:rsidR="00571DCD">
              <w:rPr>
                <w:color w:val="000000"/>
                <w:sz w:val="22"/>
                <w:szCs w:val="22"/>
                <w:highlight w:val="yellow"/>
              </w:rPr>
              <w:t>45</w:t>
            </w:r>
          </w:p>
        </w:tc>
      </w:tr>
      <w:tr w:rsidR="005D6246" w14:paraId="55C5A415" w14:textId="77777777" w:rsidTr="00D76C8D">
        <w:trPr>
          <w:jc w:val="center"/>
        </w:trPr>
        <w:tc>
          <w:tcPr>
            <w:tcW w:w="1188" w:type="dxa"/>
            <w:tcBorders>
              <w:top w:val="nil"/>
              <w:bottom w:val="nil"/>
            </w:tcBorders>
          </w:tcPr>
          <w:p w14:paraId="63311946" w14:textId="77777777" w:rsidR="005D6246" w:rsidRPr="003B0F09" w:rsidRDefault="005D6246" w:rsidP="00F554CF">
            <w:pPr>
              <w:rPr>
                <w:sz w:val="22"/>
                <w:szCs w:val="22"/>
              </w:rPr>
            </w:pPr>
            <w:r w:rsidRPr="003B0F09">
              <w:rPr>
                <w:sz w:val="22"/>
                <w:szCs w:val="22"/>
              </w:rPr>
              <w:t>4</w:t>
            </w:r>
          </w:p>
        </w:tc>
        <w:tc>
          <w:tcPr>
            <w:tcW w:w="2520" w:type="dxa"/>
            <w:tcBorders>
              <w:top w:val="nil"/>
              <w:bottom w:val="nil"/>
            </w:tcBorders>
          </w:tcPr>
          <w:p w14:paraId="6DA3819F" w14:textId="77777777" w:rsidR="005D6246" w:rsidRPr="003B0F09" w:rsidRDefault="005D6246" w:rsidP="00F554CF">
            <w:pPr>
              <w:rPr>
                <w:sz w:val="22"/>
                <w:szCs w:val="22"/>
              </w:rPr>
            </w:pPr>
            <w:r w:rsidRPr="003B0F09">
              <w:rPr>
                <w:sz w:val="22"/>
                <w:szCs w:val="22"/>
              </w:rPr>
              <w:t>PWM</w:t>
            </w:r>
          </w:p>
        </w:tc>
        <w:tc>
          <w:tcPr>
            <w:tcW w:w="1701" w:type="dxa"/>
            <w:tcBorders>
              <w:top w:val="nil"/>
              <w:bottom w:val="nil"/>
            </w:tcBorders>
            <w:vAlign w:val="center"/>
          </w:tcPr>
          <w:p w14:paraId="34B09FE2" w14:textId="46A2A199" w:rsidR="005D6246" w:rsidRPr="003B0F09" w:rsidRDefault="005D6246" w:rsidP="00D76C8D">
            <w:pPr>
              <w:jc w:val="right"/>
              <w:rPr>
                <w:sz w:val="22"/>
                <w:szCs w:val="22"/>
              </w:rPr>
            </w:pPr>
            <w:r w:rsidRPr="003B0F09">
              <w:rPr>
                <w:color w:val="000000"/>
                <w:sz w:val="22"/>
                <w:szCs w:val="22"/>
              </w:rPr>
              <w:t xml:space="preserve">2,521,785,685 </w:t>
            </w:r>
          </w:p>
        </w:tc>
        <w:tc>
          <w:tcPr>
            <w:tcW w:w="1980" w:type="dxa"/>
            <w:tcBorders>
              <w:top w:val="nil"/>
              <w:bottom w:val="nil"/>
            </w:tcBorders>
            <w:vAlign w:val="center"/>
          </w:tcPr>
          <w:p w14:paraId="76F262F6" w14:textId="46D3B78F" w:rsidR="005D6246" w:rsidRPr="003B0F09" w:rsidRDefault="005D6246" w:rsidP="00D76C8D">
            <w:pPr>
              <w:jc w:val="right"/>
              <w:rPr>
                <w:sz w:val="22"/>
                <w:szCs w:val="22"/>
              </w:rPr>
            </w:pPr>
            <w:r w:rsidRPr="003B0F09">
              <w:rPr>
                <w:color w:val="000000"/>
                <w:sz w:val="22"/>
                <w:szCs w:val="22"/>
              </w:rPr>
              <w:t xml:space="preserve">5,800,991,474 </w:t>
            </w:r>
          </w:p>
        </w:tc>
        <w:tc>
          <w:tcPr>
            <w:tcW w:w="1620" w:type="dxa"/>
            <w:tcBorders>
              <w:top w:val="nil"/>
              <w:bottom w:val="nil"/>
            </w:tcBorders>
            <w:vAlign w:val="center"/>
          </w:tcPr>
          <w:p w14:paraId="4BCB6A9B" w14:textId="77777777" w:rsidR="005D6246" w:rsidRPr="003B0F09" w:rsidRDefault="005D6246" w:rsidP="00620436">
            <w:pPr>
              <w:jc w:val="right"/>
              <w:rPr>
                <w:sz w:val="22"/>
                <w:szCs w:val="22"/>
              </w:rPr>
            </w:pPr>
            <w:r w:rsidRPr="003B0F09">
              <w:rPr>
                <w:color w:val="000000"/>
                <w:sz w:val="22"/>
                <w:szCs w:val="22"/>
              </w:rPr>
              <w:t>43.47</w:t>
            </w:r>
          </w:p>
        </w:tc>
      </w:tr>
      <w:tr w:rsidR="005D6246" w14:paraId="4CEF2EAF" w14:textId="77777777" w:rsidTr="00D76C8D">
        <w:trPr>
          <w:jc w:val="center"/>
        </w:trPr>
        <w:tc>
          <w:tcPr>
            <w:tcW w:w="1188" w:type="dxa"/>
            <w:tcBorders>
              <w:top w:val="nil"/>
              <w:bottom w:val="nil"/>
            </w:tcBorders>
          </w:tcPr>
          <w:p w14:paraId="1A34A96D" w14:textId="77777777" w:rsidR="005D6246" w:rsidRPr="003B0F09" w:rsidRDefault="005D6246" w:rsidP="00F554CF">
            <w:pPr>
              <w:rPr>
                <w:sz w:val="22"/>
                <w:szCs w:val="22"/>
              </w:rPr>
            </w:pPr>
            <w:r w:rsidRPr="003B0F09">
              <w:rPr>
                <w:sz w:val="22"/>
                <w:szCs w:val="22"/>
              </w:rPr>
              <w:t>5</w:t>
            </w:r>
          </w:p>
        </w:tc>
        <w:tc>
          <w:tcPr>
            <w:tcW w:w="2520" w:type="dxa"/>
            <w:tcBorders>
              <w:top w:val="nil"/>
              <w:bottom w:val="nil"/>
            </w:tcBorders>
          </w:tcPr>
          <w:p w14:paraId="71546E5F" w14:textId="77777777" w:rsidR="005D6246" w:rsidRPr="003B0F09" w:rsidRDefault="005D6246" w:rsidP="00F554CF">
            <w:pPr>
              <w:rPr>
                <w:sz w:val="22"/>
                <w:szCs w:val="22"/>
              </w:rPr>
            </w:pPr>
            <w:r w:rsidRPr="003B0F09">
              <w:rPr>
                <w:sz w:val="22"/>
                <w:szCs w:val="22"/>
              </w:rPr>
              <w:t>ABL</w:t>
            </w:r>
          </w:p>
        </w:tc>
        <w:tc>
          <w:tcPr>
            <w:tcW w:w="1701" w:type="dxa"/>
            <w:tcBorders>
              <w:top w:val="nil"/>
              <w:bottom w:val="nil"/>
            </w:tcBorders>
            <w:vAlign w:val="center"/>
          </w:tcPr>
          <w:p w14:paraId="4F1B200E" w14:textId="681E54FA" w:rsidR="005D6246" w:rsidRPr="003B0F09" w:rsidRDefault="005D6246" w:rsidP="00D76C8D">
            <w:pPr>
              <w:jc w:val="right"/>
              <w:rPr>
                <w:sz w:val="22"/>
                <w:szCs w:val="22"/>
              </w:rPr>
            </w:pPr>
            <w:r w:rsidRPr="003B0F09">
              <w:rPr>
                <w:color w:val="000000"/>
                <w:sz w:val="22"/>
                <w:szCs w:val="22"/>
              </w:rPr>
              <w:t xml:space="preserve">3,048,633,642 </w:t>
            </w:r>
          </w:p>
        </w:tc>
        <w:tc>
          <w:tcPr>
            <w:tcW w:w="1980" w:type="dxa"/>
            <w:tcBorders>
              <w:top w:val="nil"/>
              <w:bottom w:val="nil"/>
            </w:tcBorders>
            <w:vAlign w:val="center"/>
          </w:tcPr>
          <w:p w14:paraId="5EA9A85A" w14:textId="0A144625" w:rsidR="005D6246" w:rsidRPr="003B0F09" w:rsidRDefault="005D6246" w:rsidP="00D76C8D">
            <w:pPr>
              <w:jc w:val="right"/>
              <w:rPr>
                <w:sz w:val="22"/>
                <w:szCs w:val="22"/>
              </w:rPr>
            </w:pPr>
            <w:r w:rsidRPr="003B0F09">
              <w:rPr>
                <w:color w:val="000000"/>
                <w:sz w:val="22"/>
                <w:szCs w:val="22"/>
              </w:rPr>
              <w:t xml:space="preserve">7,797,322,236 </w:t>
            </w:r>
          </w:p>
        </w:tc>
        <w:tc>
          <w:tcPr>
            <w:tcW w:w="1620" w:type="dxa"/>
            <w:tcBorders>
              <w:top w:val="nil"/>
              <w:bottom w:val="nil"/>
            </w:tcBorders>
            <w:vAlign w:val="center"/>
          </w:tcPr>
          <w:p w14:paraId="2DAC7AC9" w14:textId="77777777" w:rsidR="005D6246" w:rsidRPr="003B0F09" w:rsidRDefault="005D6246" w:rsidP="00620436">
            <w:pPr>
              <w:jc w:val="right"/>
              <w:rPr>
                <w:sz w:val="22"/>
                <w:szCs w:val="22"/>
              </w:rPr>
            </w:pPr>
            <w:r w:rsidRPr="003B0F09">
              <w:rPr>
                <w:color w:val="000000"/>
                <w:sz w:val="22"/>
                <w:szCs w:val="22"/>
              </w:rPr>
              <w:t>39.10</w:t>
            </w:r>
          </w:p>
        </w:tc>
      </w:tr>
      <w:tr w:rsidR="005D6246" w14:paraId="09D8BD87" w14:textId="77777777" w:rsidTr="00D76C8D">
        <w:trPr>
          <w:jc w:val="center"/>
        </w:trPr>
        <w:tc>
          <w:tcPr>
            <w:tcW w:w="1188" w:type="dxa"/>
            <w:tcBorders>
              <w:top w:val="nil"/>
              <w:bottom w:val="nil"/>
            </w:tcBorders>
          </w:tcPr>
          <w:p w14:paraId="0EDEDC39" w14:textId="77777777" w:rsidR="005D6246" w:rsidRPr="003B0F09" w:rsidRDefault="005D6246" w:rsidP="00F554CF">
            <w:pPr>
              <w:rPr>
                <w:sz w:val="22"/>
                <w:szCs w:val="22"/>
              </w:rPr>
            </w:pPr>
            <w:r w:rsidRPr="003B0F09">
              <w:rPr>
                <w:sz w:val="22"/>
                <w:szCs w:val="22"/>
              </w:rPr>
              <w:t>6</w:t>
            </w:r>
          </w:p>
        </w:tc>
        <w:tc>
          <w:tcPr>
            <w:tcW w:w="2520" w:type="dxa"/>
            <w:tcBorders>
              <w:top w:val="nil"/>
              <w:bottom w:val="nil"/>
            </w:tcBorders>
          </w:tcPr>
          <w:p w14:paraId="16B338B9" w14:textId="13775940" w:rsidR="005D6246" w:rsidRPr="003B0F09" w:rsidRDefault="005D6246" w:rsidP="005D6246">
            <w:pPr>
              <w:rPr>
                <w:sz w:val="22"/>
                <w:szCs w:val="22"/>
              </w:rPr>
            </w:pPr>
            <w:r w:rsidRPr="003B0F09">
              <w:rPr>
                <w:sz w:val="22"/>
                <w:szCs w:val="22"/>
              </w:rPr>
              <w:t>RTL</w:t>
            </w:r>
          </w:p>
        </w:tc>
        <w:tc>
          <w:tcPr>
            <w:tcW w:w="1701" w:type="dxa"/>
            <w:tcBorders>
              <w:top w:val="nil"/>
              <w:bottom w:val="nil"/>
            </w:tcBorders>
            <w:vAlign w:val="center"/>
          </w:tcPr>
          <w:p w14:paraId="7493C5A7" w14:textId="36E6FADE" w:rsidR="005D6246" w:rsidRPr="003B0F09" w:rsidRDefault="00571DCD" w:rsidP="00D76C8D">
            <w:pPr>
              <w:jc w:val="right"/>
              <w:rPr>
                <w:color w:val="000000"/>
                <w:sz w:val="22"/>
                <w:szCs w:val="22"/>
                <w:highlight w:val="yellow"/>
              </w:rPr>
            </w:pPr>
            <w:r w:rsidRPr="00571DCD">
              <w:rPr>
                <w:color w:val="000000"/>
                <w:sz w:val="22"/>
                <w:szCs w:val="22"/>
                <w:highlight w:val="yellow"/>
              </w:rPr>
              <w:t>377,219,859</w:t>
            </w:r>
          </w:p>
        </w:tc>
        <w:tc>
          <w:tcPr>
            <w:tcW w:w="1980" w:type="dxa"/>
            <w:tcBorders>
              <w:top w:val="nil"/>
              <w:bottom w:val="nil"/>
            </w:tcBorders>
            <w:vAlign w:val="center"/>
          </w:tcPr>
          <w:p w14:paraId="64129D90" w14:textId="04033B49" w:rsidR="005D6246" w:rsidRPr="003B0F09" w:rsidRDefault="00571DCD" w:rsidP="00D76C8D">
            <w:pPr>
              <w:jc w:val="right"/>
              <w:rPr>
                <w:color w:val="000000"/>
                <w:sz w:val="22"/>
                <w:szCs w:val="22"/>
                <w:highlight w:val="yellow"/>
              </w:rPr>
            </w:pPr>
            <w:r w:rsidRPr="00571DCD">
              <w:rPr>
                <w:color w:val="000000"/>
                <w:sz w:val="22"/>
                <w:szCs w:val="22"/>
                <w:highlight w:val="yellow"/>
              </w:rPr>
              <w:t>916,966,849</w:t>
            </w:r>
            <w:r w:rsidR="00844312" w:rsidRPr="003B0F09">
              <w:rPr>
                <w:color w:val="000000"/>
                <w:sz w:val="22"/>
                <w:szCs w:val="22"/>
                <w:highlight w:val="yellow"/>
              </w:rPr>
              <w:t xml:space="preserve"> </w:t>
            </w:r>
          </w:p>
        </w:tc>
        <w:tc>
          <w:tcPr>
            <w:tcW w:w="1620" w:type="dxa"/>
            <w:tcBorders>
              <w:top w:val="nil"/>
              <w:bottom w:val="nil"/>
            </w:tcBorders>
            <w:vAlign w:val="center"/>
          </w:tcPr>
          <w:p w14:paraId="39338DEE" w14:textId="1E95F650" w:rsidR="005D6246" w:rsidRPr="003B0F09" w:rsidRDefault="00571DCD" w:rsidP="00571DCD">
            <w:pPr>
              <w:jc w:val="right"/>
              <w:rPr>
                <w:sz w:val="22"/>
                <w:szCs w:val="22"/>
                <w:highlight w:val="yellow"/>
              </w:rPr>
            </w:pPr>
            <w:r>
              <w:rPr>
                <w:color w:val="000000"/>
                <w:sz w:val="22"/>
                <w:szCs w:val="22"/>
                <w:highlight w:val="yellow"/>
              </w:rPr>
              <w:t>41</w:t>
            </w:r>
            <w:r w:rsidR="005D6246" w:rsidRPr="003B0F09">
              <w:rPr>
                <w:color w:val="000000"/>
                <w:sz w:val="22"/>
                <w:szCs w:val="22"/>
                <w:highlight w:val="yellow"/>
              </w:rPr>
              <w:t>.</w:t>
            </w:r>
            <w:r>
              <w:rPr>
                <w:color w:val="000000"/>
                <w:sz w:val="22"/>
                <w:szCs w:val="22"/>
                <w:highlight w:val="yellow"/>
              </w:rPr>
              <w:t>14</w:t>
            </w:r>
          </w:p>
        </w:tc>
      </w:tr>
      <w:tr w:rsidR="005D6246" w14:paraId="620B554D" w14:textId="77777777" w:rsidTr="00D76C8D">
        <w:trPr>
          <w:jc w:val="center"/>
        </w:trPr>
        <w:tc>
          <w:tcPr>
            <w:tcW w:w="1188" w:type="dxa"/>
            <w:tcBorders>
              <w:top w:val="nil"/>
            </w:tcBorders>
          </w:tcPr>
          <w:p w14:paraId="5AEBA441" w14:textId="77777777" w:rsidR="005D6246" w:rsidRPr="003B0F09" w:rsidRDefault="005D6246" w:rsidP="00F554CF">
            <w:pPr>
              <w:rPr>
                <w:sz w:val="22"/>
                <w:szCs w:val="22"/>
              </w:rPr>
            </w:pPr>
            <w:r w:rsidRPr="003B0F09">
              <w:rPr>
                <w:sz w:val="22"/>
                <w:szCs w:val="22"/>
              </w:rPr>
              <w:t>7</w:t>
            </w:r>
          </w:p>
        </w:tc>
        <w:tc>
          <w:tcPr>
            <w:tcW w:w="2520" w:type="dxa"/>
            <w:tcBorders>
              <w:top w:val="nil"/>
            </w:tcBorders>
          </w:tcPr>
          <w:p w14:paraId="1D094501" w14:textId="77777777" w:rsidR="005D6246" w:rsidRPr="003B0F09" w:rsidRDefault="005D6246" w:rsidP="00F554CF">
            <w:pPr>
              <w:rPr>
                <w:sz w:val="22"/>
                <w:szCs w:val="22"/>
              </w:rPr>
            </w:pPr>
            <w:r w:rsidRPr="003B0F09">
              <w:rPr>
                <w:sz w:val="22"/>
                <w:szCs w:val="22"/>
              </w:rPr>
              <w:t>CRE</w:t>
            </w:r>
          </w:p>
        </w:tc>
        <w:tc>
          <w:tcPr>
            <w:tcW w:w="1701" w:type="dxa"/>
            <w:tcBorders>
              <w:top w:val="nil"/>
            </w:tcBorders>
            <w:vAlign w:val="center"/>
          </w:tcPr>
          <w:p w14:paraId="07A906B7" w14:textId="49796B82" w:rsidR="005D6246" w:rsidRPr="003B0F09" w:rsidRDefault="005D6246" w:rsidP="00D76C8D">
            <w:pPr>
              <w:jc w:val="right"/>
              <w:rPr>
                <w:sz w:val="22"/>
                <w:szCs w:val="22"/>
              </w:rPr>
            </w:pPr>
            <w:r w:rsidRPr="003B0F09">
              <w:rPr>
                <w:color w:val="000000"/>
                <w:sz w:val="22"/>
                <w:szCs w:val="22"/>
              </w:rPr>
              <w:t xml:space="preserve">1,329,846,368 </w:t>
            </w:r>
          </w:p>
        </w:tc>
        <w:tc>
          <w:tcPr>
            <w:tcW w:w="1980" w:type="dxa"/>
            <w:tcBorders>
              <w:top w:val="nil"/>
            </w:tcBorders>
            <w:vAlign w:val="center"/>
          </w:tcPr>
          <w:p w14:paraId="7A735BAA" w14:textId="69505F4F" w:rsidR="005D6246" w:rsidRPr="003B0F09" w:rsidRDefault="005D6246" w:rsidP="00D76C8D">
            <w:pPr>
              <w:jc w:val="right"/>
              <w:rPr>
                <w:sz w:val="22"/>
                <w:szCs w:val="22"/>
              </w:rPr>
            </w:pPr>
            <w:r w:rsidRPr="003B0F09">
              <w:rPr>
                <w:color w:val="000000"/>
                <w:sz w:val="22"/>
                <w:szCs w:val="22"/>
              </w:rPr>
              <w:t xml:space="preserve">5,179,845,837 </w:t>
            </w:r>
          </w:p>
        </w:tc>
        <w:tc>
          <w:tcPr>
            <w:tcW w:w="1620" w:type="dxa"/>
            <w:tcBorders>
              <w:top w:val="nil"/>
            </w:tcBorders>
            <w:vAlign w:val="center"/>
          </w:tcPr>
          <w:p w14:paraId="36908A03" w14:textId="77777777" w:rsidR="005D6246" w:rsidRPr="003B0F09" w:rsidRDefault="005D6246" w:rsidP="00620436">
            <w:pPr>
              <w:jc w:val="right"/>
              <w:rPr>
                <w:sz w:val="22"/>
                <w:szCs w:val="22"/>
              </w:rPr>
            </w:pPr>
            <w:r w:rsidRPr="003B0F09">
              <w:rPr>
                <w:color w:val="000000"/>
                <w:sz w:val="22"/>
                <w:szCs w:val="22"/>
              </w:rPr>
              <w:t>25.67</w:t>
            </w:r>
          </w:p>
        </w:tc>
      </w:tr>
      <w:tr w:rsidR="005D6246" w14:paraId="228F0D57" w14:textId="77777777" w:rsidTr="00D76C8D">
        <w:trPr>
          <w:jc w:val="center"/>
        </w:trPr>
        <w:tc>
          <w:tcPr>
            <w:tcW w:w="3708" w:type="dxa"/>
            <w:gridSpan w:val="2"/>
          </w:tcPr>
          <w:p w14:paraId="67D45E5C" w14:textId="77777777" w:rsidR="005D6246" w:rsidRPr="003B0F09" w:rsidRDefault="005D6246" w:rsidP="00F554CF">
            <w:pPr>
              <w:rPr>
                <w:sz w:val="22"/>
                <w:szCs w:val="22"/>
              </w:rPr>
            </w:pPr>
            <w:r w:rsidRPr="003B0F09">
              <w:rPr>
                <w:sz w:val="22"/>
                <w:szCs w:val="22"/>
              </w:rPr>
              <w:t>Total</w:t>
            </w:r>
          </w:p>
        </w:tc>
        <w:tc>
          <w:tcPr>
            <w:tcW w:w="1701" w:type="dxa"/>
            <w:vAlign w:val="center"/>
          </w:tcPr>
          <w:p w14:paraId="5934E522" w14:textId="521E2E85" w:rsidR="005D6246" w:rsidRPr="003B0F09" w:rsidRDefault="005D6246" w:rsidP="00D76C8D">
            <w:pPr>
              <w:jc w:val="right"/>
              <w:rPr>
                <w:color w:val="000000"/>
                <w:sz w:val="22"/>
                <w:szCs w:val="22"/>
              </w:rPr>
            </w:pPr>
            <w:r w:rsidRPr="003B0F09">
              <w:rPr>
                <w:color w:val="000000"/>
                <w:sz w:val="22"/>
                <w:szCs w:val="22"/>
              </w:rPr>
              <w:t xml:space="preserve">22,647,126,819 </w:t>
            </w:r>
          </w:p>
        </w:tc>
        <w:tc>
          <w:tcPr>
            <w:tcW w:w="1980" w:type="dxa"/>
            <w:vAlign w:val="center"/>
          </w:tcPr>
          <w:p w14:paraId="5D4730E7" w14:textId="6AEB8B6A" w:rsidR="005D6246" w:rsidRPr="003B0F09" w:rsidRDefault="005D6246" w:rsidP="00D76C8D">
            <w:pPr>
              <w:jc w:val="right"/>
              <w:rPr>
                <w:color w:val="000000"/>
                <w:sz w:val="22"/>
                <w:szCs w:val="22"/>
              </w:rPr>
            </w:pPr>
            <w:r w:rsidRPr="003B0F09">
              <w:rPr>
                <w:color w:val="000000"/>
                <w:sz w:val="22"/>
                <w:szCs w:val="22"/>
              </w:rPr>
              <w:t xml:space="preserve">76,319,215,478 </w:t>
            </w:r>
          </w:p>
        </w:tc>
        <w:tc>
          <w:tcPr>
            <w:tcW w:w="1620" w:type="dxa"/>
            <w:vAlign w:val="center"/>
          </w:tcPr>
          <w:p w14:paraId="0F2BE8CF" w14:textId="77777777" w:rsidR="005D6246" w:rsidRPr="003B0F09" w:rsidRDefault="005D6246" w:rsidP="00620436">
            <w:pPr>
              <w:keepNext/>
              <w:jc w:val="right"/>
              <w:rPr>
                <w:sz w:val="22"/>
                <w:szCs w:val="22"/>
              </w:rPr>
            </w:pPr>
          </w:p>
        </w:tc>
      </w:tr>
    </w:tbl>
    <w:p w14:paraId="4ED5BDA6" w14:textId="0923FC1E" w:rsidR="005D6246" w:rsidRDefault="009D609B" w:rsidP="009D609B">
      <w:pPr>
        <w:pStyle w:val="Caption"/>
      </w:pPr>
      <w:r>
        <w:t xml:space="preserve">Figure </w:t>
      </w:r>
      <w:r w:rsidR="001B0814">
        <w:fldChar w:fldCharType="begin"/>
      </w:r>
      <w:r w:rsidR="001B0814">
        <w:instrText xml:space="preserve"> SEQ Figure \* ARABIC </w:instrText>
      </w:r>
      <w:r w:rsidR="001B0814">
        <w:fldChar w:fldCharType="separate"/>
      </w:r>
      <w:r w:rsidR="004566BD">
        <w:rPr>
          <w:noProof/>
        </w:rPr>
        <w:t>3</w:t>
      </w:r>
      <w:r w:rsidR="001B0814">
        <w:rPr>
          <w:noProof/>
        </w:rPr>
        <w:fldChar w:fldCharType="end"/>
      </w:r>
      <w:r>
        <w:t>: Proposed Segmentation for Utilization Rate</w:t>
      </w:r>
      <w:r w:rsidR="00AE3373">
        <w:t xml:space="preserve"> as of 5/31/2018</w:t>
      </w:r>
    </w:p>
    <w:p w14:paraId="5DCD26C3" w14:textId="77777777" w:rsidR="009D609B" w:rsidRPr="009D609B" w:rsidRDefault="009D609B" w:rsidP="009D609B"/>
    <w:p w14:paraId="33B51FC9" w14:textId="43C65A1D" w:rsidR="00844312" w:rsidRDefault="00CD78D3" w:rsidP="00CD78D3">
      <w:pPr>
        <w:pStyle w:val="Heading3"/>
      </w:pPr>
      <w:r>
        <w:t>Justification on Proposed Segmentation</w:t>
      </w:r>
      <w:r w:rsidR="00AD18FB">
        <w:t xml:space="preserve"> for Utilization Rate</w:t>
      </w:r>
    </w:p>
    <w:p w14:paraId="2CAE7C3A" w14:textId="77777777" w:rsidR="00CD78D3" w:rsidRDefault="00CD78D3" w:rsidP="00CD78D3"/>
    <w:p w14:paraId="0D49CE7F" w14:textId="48005685" w:rsidR="00CD78D3" w:rsidRPr="00CD78D3" w:rsidRDefault="00CD78D3" w:rsidP="00CD78D3">
      <w:pPr>
        <w:rPr>
          <w:u w:val="single"/>
        </w:rPr>
      </w:pPr>
      <w:r w:rsidRPr="00CD78D3">
        <w:rPr>
          <w:u w:val="single"/>
        </w:rPr>
        <w:t>Exclusion of ASG from CIB (Segment 2)</w:t>
      </w:r>
    </w:p>
    <w:p w14:paraId="638387DF" w14:textId="77777777" w:rsidR="00CD78D3" w:rsidRDefault="00CD78D3" w:rsidP="00CD78D3"/>
    <w:p w14:paraId="02730B87" w14:textId="14EB2F8D" w:rsidR="004C4BD9" w:rsidRDefault="00EB2D02" w:rsidP="00CD78D3">
      <w:r>
        <w:t>Assert Securitization Group (ASG)</w:t>
      </w:r>
      <w:r w:rsidR="004C4BD9">
        <w:t xml:space="preserve"> is managed by the model users</w:t>
      </w:r>
      <w:r w:rsidR="002748DB">
        <w:t xml:space="preserve"> to have a target utilization rate</w:t>
      </w:r>
      <w:r w:rsidR="004C4BD9">
        <w:t xml:space="preserve">, so it is not currently included in the utilization model. </w:t>
      </w:r>
      <w:r w:rsidR="002748DB">
        <w:t>T</w:t>
      </w:r>
      <w:r w:rsidR="004C4BD9">
        <w:t xml:space="preserve">he </w:t>
      </w:r>
      <w:r w:rsidR="009D609B">
        <w:t xml:space="preserve">historical </w:t>
      </w:r>
      <w:r w:rsidR="004C4BD9">
        <w:t>ASG commitment</w:t>
      </w:r>
      <w:r w:rsidR="002748DB">
        <w:t xml:space="preserve"> (i.e., </w:t>
      </w:r>
      <w:proofErr w:type="spellStart"/>
      <w:r w:rsidR="002748DB">
        <w:t>face_amt</w:t>
      </w:r>
      <w:proofErr w:type="spellEnd"/>
      <w:r w:rsidR="002748DB">
        <w:t xml:space="preserve"> in the figure below)</w:t>
      </w:r>
      <w:r w:rsidR="004C4BD9">
        <w:t xml:space="preserve"> is around 6 billion. </w:t>
      </w:r>
    </w:p>
    <w:p w14:paraId="6A5F332B" w14:textId="77777777" w:rsidR="004C4BD9" w:rsidRDefault="004C4BD9" w:rsidP="00CD78D3"/>
    <w:p w14:paraId="4F18EBE8" w14:textId="77777777" w:rsidR="009D609B" w:rsidRDefault="004C4BD9" w:rsidP="009D609B">
      <w:pPr>
        <w:keepNext/>
        <w:jc w:val="center"/>
      </w:pPr>
      <w:r>
        <w:rPr>
          <w:noProof/>
          <w:lang w:eastAsia="ko-KR"/>
        </w:rPr>
        <w:drawing>
          <wp:inline distT="0" distB="0" distL="0" distR="0" wp14:anchorId="641E44D3" wp14:editId="016489D1">
            <wp:extent cx="5600700" cy="3012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00700" cy="3012770"/>
                    </a:xfrm>
                    <a:prstGeom prst="rect">
                      <a:avLst/>
                    </a:prstGeom>
                  </pic:spPr>
                </pic:pic>
              </a:graphicData>
            </a:graphic>
          </wp:inline>
        </w:drawing>
      </w:r>
    </w:p>
    <w:p w14:paraId="6EA328C3" w14:textId="6DDB2910" w:rsidR="009D609B" w:rsidRDefault="009D609B" w:rsidP="009D609B">
      <w:pPr>
        <w:pStyle w:val="Caption"/>
      </w:pPr>
      <w:r>
        <w:t xml:space="preserve">Figure </w:t>
      </w:r>
      <w:r w:rsidR="001B0814">
        <w:fldChar w:fldCharType="begin"/>
      </w:r>
      <w:r w:rsidR="001B0814">
        <w:instrText xml:space="preserve"> SEQ </w:instrText>
      </w:r>
      <w:r w:rsidR="001B0814">
        <w:instrText xml:space="preserve">Figure \* ARABIC </w:instrText>
      </w:r>
      <w:r w:rsidR="001B0814">
        <w:fldChar w:fldCharType="separate"/>
      </w:r>
      <w:r w:rsidR="004566BD">
        <w:rPr>
          <w:noProof/>
        </w:rPr>
        <w:t>4</w:t>
      </w:r>
      <w:r w:rsidR="001B0814">
        <w:rPr>
          <w:noProof/>
        </w:rPr>
        <w:fldChar w:fldCharType="end"/>
      </w:r>
      <w:r>
        <w:t>: Historical Commitment of ASG</w:t>
      </w:r>
    </w:p>
    <w:p w14:paraId="613AEF61" w14:textId="77777777" w:rsidR="004C4BD9" w:rsidRDefault="004C4BD9" w:rsidP="00CD78D3"/>
    <w:p w14:paraId="5086341B" w14:textId="2F271926" w:rsidR="004C4BD9" w:rsidRDefault="004C4BD9" w:rsidP="00CD78D3">
      <w:r>
        <w:t>Model users suggested reviewing the historical utilization rate of ASG vs. CIB without ASG using the recent period (from January 2016 to February 2018)</w:t>
      </w:r>
    </w:p>
    <w:p w14:paraId="07866C7D" w14:textId="77777777" w:rsidR="004C4BD9" w:rsidRDefault="004C4BD9" w:rsidP="00CD78D3"/>
    <w:p w14:paraId="05096EF1" w14:textId="77777777" w:rsidR="009D609B" w:rsidRDefault="004C4BD9" w:rsidP="009D609B">
      <w:pPr>
        <w:keepNext/>
        <w:jc w:val="center"/>
      </w:pPr>
      <w:r w:rsidRPr="004C4BD9">
        <w:rPr>
          <w:noProof/>
          <w:lang w:eastAsia="ko-KR"/>
        </w:rPr>
        <w:drawing>
          <wp:inline distT="0" distB="0" distL="0" distR="0" wp14:anchorId="5125C15F" wp14:editId="58E12646">
            <wp:extent cx="5943600"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97225"/>
                    </a:xfrm>
                    <a:prstGeom prst="rect">
                      <a:avLst/>
                    </a:prstGeom>
                  </pic:spPr>
                </pic:pic>
              </a:graphicData>
            </a:graphic>
          </wp:inline>
        </w:drawing>
      </w:r>
    </w:p>
    <w:p w14:paraId="235D5B9A" w14:textId="3CC4E890" w:rsidR="004C4BD9" w:rsidRDefault="009D609B" w:rsidP="009D609B">
      <w:pPr>
        <w:pStyle w:val="Caption"/>
      </w:pPr>
      <w:r>
        <w:t xml:space="preserve">Figure </w:t>
      </w:r>
      <w:r w:rsidR="001B0814">
        <w:fldChar w:fldCharType="begin"/>
      </w:r>
      <w:r w:rsidR="001B0814">
        <w:instrText xml:space="preserve"> SEQ Figure \* ARABIC </w:instrText>
      </w:r>
      <w:r w:rsidR="001B0814">
        <w:fldChar w:fldCharType="separate"/>
      </w:r>
      <w:r w:rsidR="004566BD">
        <w:rPr>
          <w:noProof/>
        </w:rPr>
        <w:t>5</w:t>
      </w:r>
      <w:r w:rsidR="001B0814">
        <w:rPr>
          <w:noProof/>
        </w:rPr>
        <w:fldChar w:fldCharType="end"/>
      </w:r>
      <w:r w:rsidR="00B47748">
        <w:t>: Utilization Rate comparison between ASG and CIB w/o ASG</w:t>
      </w:r>
    </w:p>
    <w:p w14:paraId="4AFCBEBE" w14:textId="77777777" w:rsidR="004C4BD9" w:rsidRDefault="004C4BD9" w:rsidP="00CD78D3"/>
    <w:p w14:paraId="5D2E55DD" w14:textId="67A1521C" w:rsidR="004C4BD9" w:rsidRDefault="004C4BD9" w:rsidP="00CD78D3">
      <w:r>
        <w:t>It is observed that the ASG utilization</w:t>
      </w:r>
      <w:r w:rsidR="002748DB">
        <w:t xml:space="preserve"> (around 55%)</w:t>
      </w:r>
      <w:r>
        <w:t xml:space="preserve"> is much larger than the CIB without ASG</w:t>
      </w:r>
      <w:r w:rsidR="002748DB">
        <w:t xml:space="preserve"> (around 20%)</w:t>
      </w:r>
      <w:r>
        <w:t xml:space="preserve"> to </w:t>
      </w:r>
      <w:r w:rsidR="00390F23">
        <w:t>justify</w:t>
      </w:r>
      <w:r>
        <w:t xml:space="preserve"> that the asset should be excluded from the segmentation 2</w:t>
      </w:r>
      <w:r w:rsidR="002748DB">
        <w:rPr>
          <w:rStyle w:val="FootnoteReference"/>
        </w:rPr>
        <w:footnoteReference w:id="4"/>
      </w:r>
      <w:r>
        <w:t>.</w:t>
      </w:r>
    </w:p>
    <w:p w14:paraId="537D0F80" w14:textId="77777777" w:rsidR="004C4BD9" w:rsidRDefault="004C4BD9" w:rsidP="00CD78D3"/>
    <w:p w14:paraId="1286A970" w14:textId="268F47E6" w:rsidR="002748DB" w:rsidRDefault="002748DB" w:rsidP="00CD78D3">
      <w:pPr>
        <w:rPr>
          <w:u w:val="single"/>
        </w:rPr>
      </w:pPr>
      <w:r>
        <w:rPr>
          <w:u w:val="single"/>
        </w:rPr>
        <w:t>Inclusion</w:t>
      </w:r>
      <w:r w:rsidRPr="00CD78D3">
        <w:rPr>
          <w:u w:val="single"/>
        </w:rPr>
        <w:t xml:space="preserve"> of </w:t>
      </w:r>
      <w:r>
        <w:rPr>
          <w:u w:val="single"/>
        </w:rPr>
        <w:t>BBK Metro and BBK Regional to</w:t>
      </w:r>
      <w:r w:rsidRPr="00CD78D3">
        <w:rPr>
          <w:u w:val="single"/>
        </w:rPr>
        <w:t xml:space="preserve"> </w:t>
      </w:r>
      <w:r>
        <w:rPr>
          <w:u w:val="single"/>
        </w:rPr>
        <w:t xml:space="preserve">CML </w:t>
      </w:r>
      <w:r w:rsidRPr="00CD78D3">
        <w:rPr>
          <w:u w:val="single"/>
        </w:rPr>
        <w:t xml:space="preserve">(Segment </w:t>
      </w:r>
      <w:r>
        <w:rPr>
          <w:u w:val="single"/>
        </w:rPr>
        <w:t>3)</w:t>
      </w:r>
    </w:p>
    <w:p w14:paraId="35C610D9" w14:textId="77777777" w:rsidR="002748DB" w:rsidRPr="002748DB" w:rsidRDefault="002748DB" w:rsidP="00CD78D3"/>
    <w:p w14:paraId="0A81192C" w14:textId="71799DF5" w:rsidR="002748DB" w:rsidRDefault="002748DB" w:rsidP="00CD78D3">
      <w:r>
        <w:t>Business users suggested moving back BBK Metro and Regional back to commercial (CML) LOB to reflect the recent change in LOB.</w:t>
      </w:r>
    </w:p>
    <w:p w14:paraId="61ADABC0" w14:textId="77777777" w:rsidR="002748DB" w:rsidRDefault="002748DB" w:rsidP="00CD78D3"/>
    <w:p w14:paraId="5EA2D1C5" w14:textId="7935F906" w:rsidR="002748DB" w:rsidRDefault="002748DB" w:rsidP="00CD78D3">
      <w:r>
        <w:t>The plot below compares utilization rate of CML and utilization rate of BBK Metro and Regional. The detailed filtering logic for BBK Metro and Regional is explained in the email</w:t>
      </w:r>
      <w:r w:rsidR="009D609B">
        <w:rPr>
          <w:rStyle w:val="FootnoteReference"/>
        </w:rPr>
        <w:footnoteReference w:id="5"/>
      </w:r>
      <w:r>
        <w:t>, as the sub-lob field names h</w:t>
      </w:r>
      <w:r w:rsidR="00EB2D02">
        <w:t>ave been changed in past</w:t>
      </w:r>
      <w:r>
        <w:t xml:space="preserve"> 2 years.</w:t>
      </w:r>
    </w:p>
    <w:p w14:paraId="2E0A7DC2" w14:textId="77777777" w:rsidR="002748DB" w:rsidRDefault="002748DB" w:rsidP="00CD78D3"/>
    <w:p w14:paraId="58068B6F" w14:textId="269F4368" w:rsidR="002748DB" w:rsidRDefault="009D609B" w:rsidP="00CD78D3">
      <w:r>
        <w:t>Model developer observed that the difference between CML utilization and BBK utilization is within +/- 5% to justify the inclusion of BBK Metro and Regional to Segmentation 3</w:t>
      </w:r>
      <w:r w:rsidR="00EB2D02">
        <w:t xml:space="preserve"> (CML)</w:t>
      </w:r>
      <w:r>
        <w:t>.</w:t>
      </w:r>
    </w:p>
    <w:p w14:paraId="548FC05B" w14:textId="77777777" w:rsidR="00B47748" w:rsidRDefault="002748DB" w:rsidP="00B47748">
      <w:pPr>
        <w:keepNext/>
        <w:jc w:val="center"/>
      </w:pPr>
      <w:r>
        <w:rPr>
          <w:noProof/>
          <w:lang w:eastAsia="ko-KR"/>
        </w:rPr>
        <w:lastRenderedPageBreak/>
        <w:drawing>
          <wp:inline distT="0" distB="0" distL="0" distR="0" wp14:anchorId="1E1F0691" wp14:editId="770ACAFF">
            <wp:extent cx="5943600" cy="3197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97225"/>
                    </a:xfrm>
                    <a:prstGeom prst="rect">
                      <a:avLst/>
                    </a:prstGeom>
                  </pic:spPr>
                </pic:pic>
              </a:graphicData>
            </a:graphic>
          </wp:inline>
        </w:drawing>
      </w:r>
    </w:p>
    <w:p w14:paraId="3AD4CCDF" w14:textId="1A67A4F1" w:rsidR="002748DB" w:rsidRDefault="00B47748" w:rsidP="00B47748">
      <w:pPr>
        <w:pStyle w:val="Caption"/>
      </w:pPr>
      <w:r>
        <w:t xml:space="preserve">Figure </w:t>
      </w:r>
      <w:r w:rsidR="001B0814">
        <w:fldChar w:fldCharType="begin"/>
      </w:r>
      <w:r w:rsidR="001B0814">
        <w:instrText xml:space="preserve"> SEQ Figure \* ARABIC </w:instrText>
      </w:r>
      <w:r w:rsidR="001B0814">
        <w:fldChar w:fldCharType="separate"/>
      </w:r>
      <w:r w:rsidR="004566BD">
        <w:rPr>
          <w:noProof/>
        </w:rPr>
        <w:t>6</w:t>
      </w:r>
      <w:r w:rsidR="001B0814">
        <w:rPr>
          <w:noProof/>
        </w:rPr>
        <w:fldChar w:fldCharType="end"/>
      </w:r>
      <w:r>
        <w:t>: Utilization Comparison between Segment 3 and BBK Metro / Regiona</w:t>
      </w:r>
      <w:r w:rsidR="009576D8">
        <w:t>l</w:t>
      </w:r>
    </w:p>
    <w:p w14:paraId="3629BEAA" w14:textId="77777777" w:rsidR="009D609B" w:rsidRDefault="009D609B" w:rsidP="00CD78D3"/>
    <w:p w14:paraId="7A8442D1" w14:textId="682C9C94" w:rsidR="009D609B" w:rsidRDefault="009D609B" w:rsidP="009D609B">
      <w:pPr>
        <w:pStyle w:val="Heading2"/>
      </w:pPr>
      <w:r>
        <w:t>Proposed Segmentation for Closure Rate</w:t>
      </w:r>
    </w:p>
    <w:p w14:paraId="2AB47656" w14:textId="77777777" w:rsidR="009D609B" w:rsidRDefault="009D609B" w:rsidP="009D609B"/>
    <w:p w14:paraId="6CEC1BA6" w14:textId="26CAC865" w:rsidR="00B47748" w:rsidRDefault="00EB2D02" w:rsidP="009D609B">
      <w:r>
        <w:t>U</w:t>
      </w:r>
      <w:r w:rsidR="00B47748">
        <w:t>tilization rate</w:t>
      </w:r>
      <w:r>
        <w:t xml:space="preserve"> is reported</w:t>
      </w:r>
      <w:r w:rsidR="00B47748">
        <w:t xml:space="preserve"> with respect to business LOB</w:t>
      </w:r>
      <w:r>
        <w:t>s</w:t>
      </w:r>
      <w:r w:rsidR="00B47748">
        <w:t>,</w:t>
      </w:r>
      <w:r>
        <w:t xml:space="preserve"> but</w:t>
      </w:r>
      <w:r w:rsidR="00B47748">
        <w:t xml:space="preserve"> closure rate</w:t>
      </w:r>
      <w:r>
        <w:t xml:space="preserve"> is</w:t>
      </w:r>
      <w:r w:rsidR="00B47748">
        <w:t xml:space="preserve"> reported with respect to product types. </w:t>
      </w:r>
      <w:r>
        <w:t xml:space="preserve"> As such, </w:t>
      </w:r>
      <w:r w:rsidR="00B47748">
        <w:t xml:space="preserve">model users suggested </w:t>
      </w:r>
      <w:r w:rsidR="00CA4779">
        <w:t>examining the closure rates for following product types</w:t>
      </w:r>
      <w:r w:rsidR="00CA4779">
        <w:rPr>
          <w:rStyle w:val="FootnoteReference"/>
        </w:rPr>
        <w:footnoteReference w:id="6"/>
      </w:r>
      <w:r w:rsidR="00CA4779">
        <w:t xml:space="preserve"> </w:t>
      </w:r>
      <w:r w:rsidR="00CA4779">
        <w:rPr>
          <w:rStyle w:val="FootnoteReference"/>
        </w:rPr>
        <w:footnoteReference w:id="7"/>
      </w:r>
      <w:r w:rsidR="00CA4779">
        <w:t>:</w:t>
      </w:r>
    </w:p>
    <w:p w14:paraId="090A9B7E" w14:textId="77777777" w:rsidR="00CA4779" w:rsidRDefault="00CA4779" w:rsidP="009D609B"/>
    <w:p w14:paraId="4FF71FDB" w14:textId="3D146F07" w:rsidR="00CA4779" w:rsidRDefault="00CA4779" w:rsidP="00CA4779">
      <w:pPr>
        <w:pStyle w:val="ListParagraph"/>
        <w:numPr>
          <w:ilvl w:val="0"/>
          <w:numId w:val="29"/>
        </w:numPr>
      </w:pPr>
      <w:r>
        <w:t>CRE ($0.57B),</w:t>
      </w:r>
    </w:p>
    <w:p w14:paraId="697B1D28" w14:textId="53F426B9" w:rsidR="00CA4779" w:rsidRDefault="00CA4779" w:rsidP="00CA4779">
      <w:pPr>
        <w:pStyle w:val="ListParagraph"/>
        <w:numPr>
          <w:ilvl w:val="1"/>
          <w:numId w:val="29"/>
        </w:numPr>
      </w:pPr>
      <w:r>
        <w:t>CRE Construction [$0.09B],</w:t>
      </w:r>
    </w:p>
    <w:p w14:paraId="1A99D732" w14:textId="587E7679" w:rsidR="00CA4779" w:rsidRDefault="00CA4779" w:rsidP="00CA4779">
      <w:pPr>
        <w:pStyle w:val="ListParagraph"/>
        <w:numPr>
          <w:ilvl w:val="1"/>
          <w:numId w:val="29"/>
        </w:numPr>
      </w:pPr>
      <w:r>
        <w:t>CRE Investor Owned [$0.26B],</w:t>
      </w:r>
    </w:p>
    <w:p w14:paraId="54E64BF7" w14:textId="0693F60C" w:rsidR="00CA4779" w:rsidRDefault="00CA4779" w:rsidP="00CA4779">
      <w:pPr>
        <w:pStyle w:val="ListParagraph"/>
        <w:numPr>
          <w:ilvl w:val="1"/>
          <w:numId w:val="29"/>
        </w:numPr>
      </w:pPr>
      <w:r>
        <w:t>CRE Owner Occupied [$0.22B],</w:t>
      </w:r>
    </w:p>
    <w:p w14:paraId="7749CEE7" w14:textId="7552E806" w:rsidR="00CA4779" w:rsidRDefault="00CA4779" w:rsidP="00CA4779">
      <w:pPr>
        <w:pStyle w:val="ListParagraph"/>
        <w:numPr>
          <w:ilvl w:val="0"/>
          <w:numId w:val="29"/>
        </w:numPr>
      </w:pPr>
      <w:r>
        <w:t>Commercial Tax Exempt [$0.23B],</w:t>
      </w:r>
    </w:p>
    <w:p w14:paraId="04643E9A" w14:textId="089C1AD4" w:rsidR="00CA4779" w:rsidRDefault="00CA4779" w:rsidP="00CA4779">
      <w:pPr>
        <w:pStyle w:val="ListParagraph"/>
        <w:numPr>
          <w:ilvl w:val="0"/>
          <w:numId w:val="29"/>
        </w:numPr>
      </w:pPr>
      <w:r>
        <w:t>Commercial Floor Plan [$3.4B],</w:t>
      </w:r>
    </w:p>
    <w:p w14:paraId="0FFFB2D5" w14:textId="67BDF906" w:rsidR="00CA4779" w:rsidRDefault="00CA4779" w:rsidP="00CA4779">
      <w:pPr>
        <w:pStyle w:val="ListParagraph"/>
        <w:numPr>
          <w:ilvl w:val="0"/>
          <w:numId w:val="29"/>
        </w:numPr>
      </w:pPr>
      <w:r>
        <w:t>Commercial Domestic [$18.3B],</w:t>
      </w:r>
    </w:p>
    <w:p w14:paraId="7B9A227D" w14:textId="3AE43545" w:rsidR="00CA4779" w:rsidRDefault="00CA4779" w:rsidP="00CA4779">
      <w:pPr>
        <w:pStyle w:val="ListParagraph"/>
        <w:numPr>
          <w:ilvl w:val="1"/>
          <w:numId w:val="29"/>
        </w:numPr>
      </w:pPr>
      <w:r>
        <w:t>Commercial Loan Domestic Planning [$15.3B],</w:t>
      </w:r>
    </w:p>
    <w:p w14:paraId="617B46FF" w14:textId="7B6EEE97" w:rsidR="00CA4779" w:rsidRDefault="00CA4779" w:rsidP="00CA4779">
      <w:pPr>
        <w:pStyle w:val="ListParagraph"/>
        <w:numPr>
          <w:ilvl w:val="1"/>
          <w:numId w:val="29"/>
        </w:numPr>
      </w:pPr>
      <w:r>
        <w:t>Asset Based Lending (ABL) [$3B],</w:t>
      </w:r>
    </w:p>
    <w:p w14:paraId="7E075C5A" w14:textId="69C40778" w:rsidR="00CA4779" w:rsidRDefault="00CA4779" w:rsidP="00CA4779">
      <w:pPr>
        <w:pStyle w:val="ListParagraph"/>
        <w:numPr>
          <w:ilvl w:val="0"/>
          <w:numId w:val="29"/>
        </w:numPr>
      </w:pPr>
      <w:r>
        <w:t>Commercial International [$0.8B]</w:t>
      </w:r>
    </w:p>
    <w:p w14:paraId="28E498EF" w14:textId="77777777" w:rsidR="00B47748" w:rsidRDefault="00B47748" w:rsidP="009D609B"/>
    <w:p w14:paraId="7A00453E" w14:textId="406739B2" w:rsidR="00B47748" w:rsidRDefault="00EC11DF" w:rsidP="009D609B">
      <w:r>
        <w:t>Model developer provided the historical closure rates</w:t>
      </w:r>
      <w:r w:rsidR="00176BBB">
        <w:t xml:space="preserve"> </w:t>
      </w:r>
      <w:r>
        <w:t>segmented by product types</w:t>
      </w:r>
      <w:r w:rsidR="00176BBB">
        <w:t xml:space="preserve"> (</w:t>
      </w:r>
      <w:r w:rsidR="00176BBB">
        <w:t>from Feb 2016 to Feb 2018</w:t>
      </w:r>
      <w:r w:rsidR="00176BBB">
        <w:t>)</w:t>
      </w:r>
      <w:r w:rsidR="00390F23">
        <w:t xml:space="preserve"> in the figure below.</w:t>
      </w:r>
    </w:p>
    <w:p w14:paraId="35FD7E1A" w14:textId="05B56162" w:rsidR="009576D8" w:rsidRDefault="00176BBB" w:rsidP="009576D8">
      <w:pPr>
        <w:keepNext/>
        <w:jc w:val="center"/>
      </w:pPr>
      <w:r w:rsidRPr="00176BBB">
        <w:lastRenderedPageBreak/>
        <w:drawing>
          <wp:inline distT="0" distB="0" distL="0" distR="0" wp14:anchorId="1D31F4C8" wp14:editId="4EACCF66">
            <wp:extent cx="5943600" cy="35900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90037"/>
                    </a:xfrm>
                    <a:prstGeom prst="rect">
                      <a:avLst/>
                    </a:prstGeom>
                    <a:noFill/>
                    <a:ln>
                      <a:noFill/>
                    </a:ln>
                  </pic:spPr>
                </pic:pic>
              </a:graphicData>
            </a:graphic>
          </wp:inline>
        </w:drawing>
      </w:r>
    </w:p>
    <w:p w14:paraId="3C5E20E8" w14:textId="13074074" w:rsidR="00EC11DF" w:rsidRDefault="009576D8" w:rsidP="009576D8">
      <w:pPr>
        <w:pStyle w:val="Caption"/>
      </w:pPr>
      <w:bookmarkStart w:id="2" w:name="_Ref519258976"/>
      <w:r>
        <w:t xml:space="preserve">Figure </w:t>
      </w:r>
      <w:r w:rsidR="001B0814">
        <w:fldChar w:fldCharType="begin"/>
      </w:r>
      <w:r w:rsidR="001B0814">
        <w:instrText xml:space="preserve"> SEQ Figure \* ARABIC </w:instrText>
      </w:r>
      <w:r w:rsidR="001B0814">
        <w:fldChar w:fldCharType="separate"/>
      </w:r>
      <w:r w:rsidR="004566BD">
        <w:rPr>
          <w:noProof/>
        </w:rPr>
        <w:t>7</w:t>
      </w:r>
      <w:r w:rsidR="001B0814">
        <w:rPr>
          <w:noProof/>
        </w:rPr>
        <w:fldChar w:fldCharType="end"/>
      </w:r>
      <w:bookmarkEnd w:id="2"/>
      <w:r>
        <w:t>: Closure Rate Segmentation by Product Type</w:t>
      </w:r>
    </w:p>
    <w:p w14:paraId="127FC3B8" w14:textId="77777777" w:rsidR="009D609B" w:rsidRDefault="009D609B" w:rsidP="009D609B"/>
    <w:p w14:paraId="307401E7" w14:textId="5B4A5CC6" w:rsidR="00827BBB" w:rsidRDefault="00EC11DF" w:rsidP="009D609B">
      <w:r>
        <w:t>The first group (‘</w:t>
      </w:r>
      <w:proofErr w:type="spellStart"/>
      <w:r>
        <w:t>nrtl</w:t>
      </w:r>
      <w:proofErr w:type="spellEnd"/>
      <w:r>
        <w:t xml:space="preserve">’) is the Non-Retail which consists of all product types (i.e., </w:t>
      </w:r>
      <w:proofErr w:type="spellStart"/>
      <w:r>
        <w:t>cre</w:t>
      </w:r>
      <w:proofErr w:type="spellEnd"/>
      <w:r>
        <w:t>, domestic, floor plan, international and tax exempt</w:t>
      </w:r>
      <w:r w:rsidR="00EB2D02">
        <w:t xml:space="preserve"> for non-retail</w:t>
      </w:r>
      <w:r>
        <w:t>). As the domestic has the biggest balance, closure rate of domestic represent</w:t>
      </w:r>
      <w:r w:rsidR="00827BBB">
        <w:t>s</w:t>
      </w:r>
      <w:r>
        <w:t xml:space="preserve"> the whole non-retail group. Model developer observed that closure rate for </w:t>
      </w:r>
      <w:r w:rsidR="00CB5350">
        <w:t xml:space="preserve">CRE, </w:t>
      </w:r>
      <w:r>
        <w:t>floor plan</w:t>
      </w:r>
      <w:r w:rsidR="00CB5350">
        <w:t>, international</w:t>
      </w:r>
      <w:r>
        <w:t xml:space="preserve"> and tax exempt were unstable across periods.</w:t>
      </w:r>
      <w:r w:rsidR="00827BBB">
        <w:t xml:space="preserve"> The last group (‘</w:t>
      </w:r>
      <w:proofErr w:type="spellStart"/>
      <w:r w:rsidR="00827BBB">
        <w:t>rtl</w:t>
      </w:r>
      <w:proofErr w:type="spellEnd"/>
      <w:r w:rsidR="00827BBB">
        <w:t>’) is the Retail which consists of consumer LOB</w:t>
      </w:r>
      <w:r w:rsidR="00CB5350">
        <w:t xml:space="preserve"> and BBK Metro</w:t>
      </w:r>
      <w:r w:rsidR="00827BBB">
        <w:t>.</w:t>
      </w:r>
    </w:p>
    <w:p w14:paraId="3B263B6B" w14:textId="77777777" w:rsidR="00EC11DF" w:rsidRDefault="00EC11DF" w:rsidP="009D609B"/>
    <w:p w14:paraId="66351521" w14:textId="3D1DBB05" w:rsidR="00EC11DF" w:rsidRDefault="00EC11DF" w:rsidP="009D609B">
      <w:r>
        <w:t>Model developer and model users agreed to have following segmentation for closure rate</w:t>
      </w:r>
      <w:r w:rsidR="004354BF">
        <w:rPr>
          <w:rStyle w:val="FootnoteReference"/>
        </w:rPr>
        <w:footnoteReference w:id="8"/>
      </w:r>
      <w:r>
        <w:t>:</w:t>
      </w:r>
    </w:p>
    <w:p w14:paraId="1F64902D" w14:textId="77777777" w:rsidR="00AA1346" w:rsidRDefault="00AA1346" w:rsidP="009D609B"/>
    <w:tbl>
      <w:tblPr>
        <w:tblStyle w:val="TableGrid"/>
        <w:tblW w:w="7873" w:type="dxa"/>
        <w:jc w:val="center"/>
        <w:tblInd w:w="-947" w:type="dxa"/>
        <w:tblLayout w:type="fixed"/>
        <w:tblLook w:val="04A0" w:firstRow="1" w:lastRow="0" w:firstColumn="1" w:lastColumn="0" w:noHBand="0" w:noVBand="1"/>
      </w:tblPr>
      <w:tblGrid>
        <w:gridCol w:w="2563"/>
        <w:gridCol w:w="2070"/>
        <w:gridCol w:w="1890"/>
        <w:gridCol w:w="1350"/>
      </w:tblGrid>
      <w:tr w:rsidR="004354A0" w14:paraId="68B11ECC" w14:textId="77777777" w:rsidTr="004354A0">
        <w:trPr>
          <w:jc w:val="center"/>
        </w:trPr>
        <w:tc>
          <w:tcPr>
            <w:tcW w:w="2563" w:type="dxa"/>
            <w:tcBorders>
              <w:bottom w:val="single" w:sz="4" w:space="0" w:color="auto"/>
            </w:tcBorders>
          </w:tcPr>
          <w:p w14:paraId="61554AF9" w14:textId="5D5FF32A" w:rsidR="004354A0" w:rsidRPr="003B0F09" w:rsidRDefault="004354A0" w:rsidP="0004016A">
            <w:pPr>
              <w:rPr>
                <w:sz w:val="22"/>
                <w:szCs w:val="22"/>
              </w:rPr>
            </w:pPr>
            <w:r w:rsidRPr="003B0F09">
              <w:rPr>
                <w:sz w:val="22"/>
                <w:szCs w:val="22"/>
              </w:rPr>
              <w:t>Product Type</w:t>
            </w:r>
          </w:p>
        </w:tc>
        <w:tc>
          <w:tcPr>
            <w:tcW w:w="2070" w:type="dxa"/>
            <w:tcBorders>
              <w:bottom w:val="single" w:sz="4" w:space="0" w:color="auto"/>
            </w:tcBorders>
          </w:tcPr>
          <w:p w14:paraId="202A1A3C" w14:textId="77777777" w:rsidR="004354A0" w:rsidRPr="003B0F09" w:rsidRDefault="004354A0" w:rsidP="0004016A">
            <w:pPr>
              <w:rPr>
                <w:sz w:val="22"/>
                <w:szCs w:val="22"/>
              </w:rPr>
            </w:pPr>
            <w:r w:rsidRPr="003B0F09">
              <w:rPr>
                <w:sz w:val="22"/>
                <w:szCs w:val="22"/>
              </w:rPr>
              <w:t>Closed Commitment</w:t>
            </w:r>
          </w:p>
        </w:tc>
        <w:tc>
          <w:tcPr>
            <w:tcW w:w="1890" w:type="dxa"/>
            <w:tcBorders>
              <w:bottom w:val="single" w:sz="4" w:space="0" w:color="auto"/>
            </w:tcBorders>
          </w:tcPr>
          <w:p w14:paraId="0A3D393B" w14:textId="77777777" w:rsidR="004354A0" w:rsidRPr="003B0F09" w:rsidRDefault="004354A0" w:rsidP="0004016A">
            <w:pPr>
              <w:rPr>
                <w:sz w:val="22"/>
                <w:szCs w:val="22"/>
              </w:rPr>
            </w:pPr>
            <w:r w:rsidRPr="003B0F09">
              <w:rPr>
                <w:sz w:val="22"/>
                <w:szCs w:val="22"/>
              </w:rPr>
              <w:t>All Commitment</w:t>
            </w:r>
          </w:p>
        </w:tc>
        <w:tc>
          <w:tcPr>
            <w:tcW w:w="1350" w:type="dxa"/>
            <w:tcBorders>
              <w:bottom w:val="single" w:sz="4" w:space="0" w:color="auto"/>
            </w:tcBorders>
          </w:tcPr>
          <w:p w14:paraId="69C94035" w14:textId="77777777" w:rsidR="004354A0" w:rsidRPr="003B0F09" w:rsidRDefault="004354A0" w:rsidP="0004016A">
            <w:pPr>
              <w:rPr>
                <w:sz w:val="22"/>
                <w:szCs w:val="22"/>
              </w:rPr>
            </w:pPr>
            <w:r w:rsidRPr="003B0F09">
              <w:rPr>
                <w:sz w:val="22"/>
                <w:szCs w:val="22"/>
              </w:rPr>
              <w:t>Closure (%)</w:t>
            </w:r>
          </w:p>
        </w:tc>
      </w:tr>
      <w:tr w:rsidR="004354A0" w14:paraId="252B8EA5" w14:textId="77777777" w:rsidTr="004354A0">
        <w:trPr>
          <w:jc w:val="center"/>
        </w:trPr>
        <w:tc>
          <w:tcPr>
            <w:tcW w:w="2563" w:type="dxa"/>
            <w:tcBorders>
              <w:top w:val="nil"/>
              <w:bottom w:val="nil"/>
            </w:tcBorders>
          </w:tcPr>
          <w:p w14:paraId="797B1CD2" w14:textId="7A1B49B7" w:rsidR="004354A0" w:rsidRPr="003B0F09" w:rsidRDefault="004354A0" w:rsidP="0004016A">
            <w:pPr>
              <w:rPr>
                <w:sz w:val="22"/>
                <w:szCs w:val="22"/>
              </w:rPr>
            </w:pPr>
            <w:r w:rsidRPr="003B0F09">
              <w:rPr>
                <w:sz w:val="22"/>
                <w:szCs w:val="22"/>
              </w:rPr>
              <w:t>Domestic</w:t>
            </w:r>
            <w:r>
              <w:rPr>
                <w:sz w:val="22"/>
                <w:szCs w:val="22"/>
              </w:rPr>
              <w:t xml:space="preserve"> (Non-Retail)</w:t>
            </w:r>
          </w:p>
        </w:tc>
        <w:tc>
          <w:tcPr>
            <w:tcW w:w="2070" w:type="dxa"/>
            <w:tcBorders>
              <w:top w:val="nil"/>
              <w:bottom w:val="nil"/>
            </w:tcBorders>
            <w:vAlign w:val="center"/>
          </w:tcPr>
          <w:p w14:paraId="030D912A" w14:textId="2FFA17AD" w:rsidR="004354A0" w:rsidRPr="003B0F09" w:rsidRDefault="004354A0" w:rsidP="00D76C8D">
            <w:pPr>
              <w:jc w:val="right"/>
              <w:rPr>
                <w:color w:val="000000"/>
                <w:sz w:val="22"/>
                <w:szCs w:val="22"/>
              </w:rPr>
            </w:pPr>
            <w:r w:rsidRPr="004354A0">
              <w:rPr>
                <w:color w:val="000000"/>
                <w:sz w:val="22"/>
                <w:szCs w:val="22"/>
              </w:rPr>
              <w:t>1</w:t>
            </w:r>
            <w:r>
              <w:rPr>
                <w:color w:val="000000"/>
                <w:sz w:val="22"/>
                <w:szCs w:val="22"/>
              </w:rPr>
              <w:t>,</w:t>
            </w:r>
            <w:r w:rsidRPr="004354A0">
              <w:rPr>
                <w:color w:val="000000"/>
                <w:sz w:val="22"/>
                <w:szCs w:val="22"/>
              </w:rPr>
              <w:t>770</w:t>
            </w:r>
            <w:r>
              <w:rPr>
                <w:color w:val="000000"/>
                <w:sz w:val="22"/>
                <w:szCs w:val="22"/>
              </w:rPr>
              <w:t>,</w:t>
            </w:r>
            <w:r w:rsidRPr="004354A0">
              <w:rPr>
                <w:color w:val="000000"/>
                <w:sz w:val="22"/>
                <w:szCs w:val="22"/>
              </w:rPr>
              <w:t>835</w:t>
            </w:r>
            <w:r>
              <w:rPr>
                <w:color w:val="000000"/>
                <w:sz w:val="22"/>
                <w:szCs w:val="22"/>
              </w:rPr>
              <w:t>,</w:t>
            </w:r>
            <w:r w:rsidRPr="004354A0">
              <w:rPr>
                <w:color w:val="000000"/>
                <w:sz w:val="22"/>
                <w:szCs w:val="22"/>
              </w:rPr>
              <w:t>747</w:t>
            </w:r>
          </w:p>
        </w:tc>
        <w:tc>
          <w:tcPr>
            <w:tcW w:w="1890" w:type="dxa"/>
            <w:tcBorders>
              <w:top w:val="nil"/>
              <w:bottom w:val="nil"/>
            </w:tcBorders>
            <w:vAlign w:val="center"/>
          </w:tcPr>
          <w:p w14:paraId="3A86A8E3" w14:textId="231462A4" w:rsidR="004354A0" w:rsidRPr="003B0F09" w:rsidRDefault="004354A0" w:rsidP="00D76C8D">
            <w:pPr>
              <w:jc w:val="right"/>
              <w:rPr>
                <w:color w:val="000000"/>
                <w:sz w:val="22"/>
                <w:szCs w:val="22"/>
              </w:rPr>
            </w:pPr>
            <w:r w:rsidRPr="004354A0">
              <w:rPr>
                <w:color w:val="000000"/>
                <w:sz w:val="22"/>
                <w:szCs w:val="22"/>
              </w:rPr>
              <w:t>66,620,450,975</w:t>
            </w:r>
            <w:r>
              <w:rPr>
                <w:color w:val="000000"/>
                <w:sz w:val="22"/>
                <w:szCs w:val="22"/>
              </w:rPr>
              <w:t xml:space="preserve"> </w:t>
            </w:r>
          </w:p>
        </w:tc>
        <w:tc>
          <w:tcPr>
            <w:tcW w:w="1350" w:type="dxa"/>
            <w:tcBorders>
              <w:top w:val="nil"/>
              <w:bottom w:val="nil"/>
            </w:tcBorders>
            <w:vAlign w:val="center"/>
          </w:tcPr>
          <w:p w14:paraId="5B09E1E2" w14:textId="6C7A2CB0" w:rsidR="004354A0" w:rsidRPr="003B0F09" w:rsidRDefault="004354A0" w:rsidP="004354A0">
            <w:pPr>
              <w:jc w:val="right"/>
              <w:rPr>
                <w:color w:val="000000"/>
                <w:sz w:val="22"/>
                <w:szCs w:val="22"/>
              </w:rPr>
            </w:pPr>
            <w:r>
              <w:rPr>
                <w:color w:val="000000"/>
                <w:sz w:val="22"/>
                <w:szCs w:val="22"/>
              </w:rPr>
              <w:t>27.62</w:t>
            </w:r>
          </w:p>
        </w:tc>
      </w:tr>
      <w:tr w:rsidR="004354A0" w14:paraId="239420E1" w14:textId="77777777" w:rsidTr="004354A0">
        <w:trPr>
          <w:jc w:val="center"/>
        </w:trPr>
        <w:tc>
          <w:tcPr>
            <w:tcW w:w="2563" w:type="dxa"/>
            <w:tcBorders>
              <w:top w:val="nil"/>
            </w:tcBorders>
          </w:tcPr>
          <w:p w14:paraId="7317D4CC" w14:textId="4A02A1DE" w:rsidR="004354A0" w:rsidRPr="003B0F09" w:rsidRDefault="004354A0" w:rsidP="0004016A">
            <w:pPr>
              <w:rPr>
                <w:sz w:val="22"/>
                <w:szCs w:val="22"/>
              </w:rPr>
            </w:pPr>
            <w:r>
              <w:rPr>
                <w:sz w:val="22"/>
                <w:szCs w:val="22"/>
              </w:rPr>
              <w:t>Retail</w:t>
            </w:r>
          </w:p>
        </w:tc>
        <w:tc>
          <w:tcPr>
            <w:tcW w:w="2070" w:type="dxa"/>
            <w:tcBorders>
              <w:top w:val="nil"/>
            </w:tcBorders>
            <w:vAlign w:val="center"/>
          </w:tcPr>
          <w:p w14:paraId="744B8CA5" w14:textId="42DDD28B" w:rsidR="004354A0" w:rsidRPr="003B0F09" w:rsidRDefault="004354A0" w:rsidP="00D76C8D">
            <w:pPr>
              <w:jc w:val="right"/>
              <w:rPr>
                <w:color w:val="000000"/>
                <w:sz w:val="22"/>
                <w:szCs w:val="22"/>
              </w:rPr>
            </w:pPr>
            <w:r w:rsidRPr="004354A0">
              <w:rPr>
                <w:color w:val="000000"/>
                <w:sz w:val="22"/>
                <w:szCs w:val="22"/>
              </w:rPr>
              <w:t>12</w:t>
            </w:r>
            <w:r>
              <w:rPr>
                <w:color w:val="000000"/>
                <w:sz w:val="22"/>
                <w:szCs w:val="22"/>
              </w:rPr>
              <w:t>,</w:t>
            </w:r>
            <w:r w:rsidRPr="004354A0">
              <w:rPr>
                <w:color w:val="000000"/>
                <w:sz w:val="22"/>
                <w:szCs w:val="22"/>
              </w:rPr>
              <w:t>397</w:t>
            </w:r>
            <w:r>
              <w:rPr>
                <w:color w:val="000000"/>
                <w:sz w:val="22"/>
                <w:szCs w:val="22"/>
              </w:rPr>
              <w:t>,</w:t>
            </w:r>
            <w:r w:rsidRPr="004354A0">
              <w:rPr>
                <w:color w:val="000000"/>
                <w:sz w:val="22"/>
                <w:szCs w:val="22"/>
              </w:rPr>
              <w:t>479</w:t>
            </w:r>
          </w:p>
        </w:tc>
        <w:tc>
          <w:tcPr>
            <w:tcW w:w="1890" w:type="dxa"/>
            <w:tcBorders>
              <w:top w:val="nil"/>
            </w:tcBorders>
            <w:vAlign w:val="center"/>
          </w:tcPr>
          <w:p w14:paraId="115F7D6C" w14:textId="447114C9" w:rsidR="004354A0" w:rsidRPr="003B0F09" w:rsidRDefault="004354A0" w:rsidP="00D76C8D">
            <w:pPr>
              <w:jc w:val="right"/>
              <w:rPr>
                <w:color w:val="000000"/>
                <w:sz w:val="22"/>
                <w:szCs w:val="22"/>
              </w:rPr>
            </w:pPr>
            <w:r w:rsidRPr="004354A0">
              <w:rPr>
                <w:color w:val="000000"/>
                <w:sz w:val="22"/>
                <w:szCs w:val="22"/>
              </w:rPr>
              <w:t>916</w:t>
            </w:r>
            <w:r>
              <w:rPr>
                <w:color w:val="000000"/>
                <w:sz w:val="22"/>
                <w:szCs w:val="22"/>
              </w:rPr>
              <w:t>,</w:t>
            </w:r>
            <w:r w:rsidRPr="004354A0">
              <w:rPr>
                <w:color w:val="000000"/>
                <w:sz w:val="22"/>
                <w:szCs w:val="22"/>
              </w:rPr>
              <w:t>966</w:t>
            </w:r>
            <w:r>
              <w:rPr>
                <w:color w:val="000000"/>
                <w:sz w:val="22"/>
                <w:szCs w:val="22"/>
              </w:rPr>
              <w:t>,</w:t>
            </w:r>
            <w:r w:rsidRPr="004354A0">
              <w:rPr>
                <w:color w:val="000000"/>
                <w:sz w:val="22"/>
                <w:szCs w:val="22"/>
              </w:rPr>
              <w:t>849</w:t>
            </w:r>
          </w:p>
        </w:tc>
        <w:tc>
          <w:tcPr>
            <w:tcW w:w="1350" w:type="dxa"/>
            <w:tcBorders>
              <w:top w:val="nil"/>
            </w:tcBorders>
            <w:vAlign w:val="center"/>
          </w:tcPr>
          <w:p w14:paraId="175B45DE" w14:textId="7D1FB33D" w:rsidR="004354A0" w:rsidRPr="003B0F09" w:rsidRDefault="004354A0" w:rsidP="004354A0">
            <w:pPr>
              <w:jc w:val="right"/>
              <w:rPr>
                <w:color w:val="000000"/>
                <w:sz w:val="22"/>
                <w:szCs w:val="22"/>
              </w:rPr>
            </w:pPr>
            <w:r>
              <w:rPr>
                <w:color w:val="000000"/>
                <w:sz w:val="22"/>
                <w:szCs w:val="22"/>
              </w:rPr>
              <w:t>15.07</w:t>
            </w:r>
          </w:p>
        </w:tc>
      </w:tr>
    </w:tbl>
    <w:p w14:paraId="593E544F" w14:textId="4A869720" w:rsidR="00A750B7" w:rsidRDefault="00D76C8D" w:rsidP="00D76C8D">
      <w:pPr>
        <w:pStyle w:val="Caption"/>
      </w:pPr>
      <w:r>
        <w:t xml:space="preserve">Figure </w:t>
      </w:r>
      <w:r w:rsidR="001B0814">
        <w:fldChar w:fldCharType="begin"/>
      </w:r>
      <w:r w:rsidR="001B0814">
        <w:instrText xml:space="preserve"> SEQ Figure \* ARABIC </w:instrText>
      </w:r>
      <w:r w:rsidR="001B0814">
        <w:fldChar w:fldCharType="separate"/>
      </w:r>
      <w:r w:rsidR="004566BD">
        <w:rPr>
          <w:noProof/>
        </w:rPr>
        <w:t>8</w:t>
      </w:r>
      <w:r w:rsidR="001B0814">
        <w:rPr>
          <w:noProof/>
        </w:rPr>
        <w:fldChar w:fldCharType="end"/>
      </w:r>
      <w:r>
        <w:t xml:space="preserve">: Proposed Closure Rate Segmentation </w:t>
      </w:r>
      <w:r w:rsidR="00AE3373">
        <w:t>as of 5/31/2018</w:t>
      </w:r>
    </w:p>
    <w:p w14:paraId="286071DB" w14:textId="77777777" w:rsidR="00AE3373" w:rsidRPr="00AE3373" w:rsidRDefault="00AE3373" w:rsidP="00AE3373"/>
    <w:p w14:paraId="4179332B" w14:textId="1919C35A" w:rsidR="00EC11DF" w:rsidRDefault="00D146A9" w:rsidP="009D609B">
      <w:r>
        <w:t>It should be noted that the product type filtering requires</w:t>
      </w:r>
      <w:r w:rsidR="00BE0F4D">
        <w:t xml:space="preserve"> new aggregation logics which are</w:t>
      </w:r>
      <w:r>
        <w:t xml:space="preserve"> different from the aggregation logic used </w:t>
      </w:r>
      <w:r w:rsidR="00BE0F4D">
        <w:t xml:space="preserve">for the </w:t>
      </w:r>
      <w:r>
        <w:t xml:space="preserve">current closure rate in </w:t>
      </w:r>
      <w:r>
        <w:fldChar w:fldCharType="begin"/>
      </w:r>
      <w:r>
        <w:instrText xml:space="preserve"> REF _Ref519500378 \h </w:instrText>
      </w:r>
      <w:r>
        <w:fldChar w:fldCharType="separate"/>
      </w:r>
      <w:r>
        <w:t xml:space="preserve">Figure </w:t>
      </w:r>
      <w:r>
        <w:rPr>
          <w:noProof/>
        </w:rPr>
        <w:t>2</w:t>
      </w:r>
      <w:r>
        <w:fldChar w:fldCharType="end"/>
      </w:r>
      <w:r>
        <w:rPr>
          <w:rStyle w:val="FootnoteReference"/>
        </w:rPr>
        <w:footnoteReference w:id="9"/>
      </w:r>
      <w:r>
        <w:t xml:space="preserve">. Also, </w:t>
      </w:r>
      <w:r w:rsidR="004354A0">
        <w:t>CRE</w:t>
      </w:r>
      <w:r w:rsidR="00CB5350">
        <w:t xml:space="preserve">, </w:t>
      </w:r>
      <w:r>
        <w:lastRenderedPageBreak/>
        <w:t>floor plan</w:t>
      </w:r>
      <w:r w:rsidR="00CB5350">
        <w:t>, international</w:t>
      </w:r>
      <w:r>
        <w:t xml:space="preserve"> and tax exempt have been proposed to be excluded from </w:t>
      </w:r>
      <w:r w:rsidR="00BE0F4D">
        <w:t xml:space="preserve">the </w:t>
      </w:r>
      <w:r>
        <w:t>closure rate model</w:t>
      </w:r>
      <w:r w:rsidR="004354A0">
        <w:t xml:space="preserve"> for non-retail</w:t>
      </w:r>
      <w:r>
        <w:t xml:space="preserve">. </w:t>
      </w:r>
      <w:r w:rsidR="00464E43">
        <w:t xml:space="preserve">Model developer justified segmentation logics based on number of closed </w:t>
      </w:r>
      <w:r w:rsidR="00390F23">
        <w:t>accounts</w:t>
      </w:r>
      <w:r w:rsidR="00464E43">
        <w:t xml:space="preserve"> and balance size</w:t>
      </w:r>
      <w:r w:rsidR="00EB2D02">
        <w:t xml:space="preserve"> per month</w:t>
      </w:r>
      <w:r w:rsidR="00464E43">
        <w:t>. Detailed justification is provided in the following sections.</w:t>
      </w:r>
    </w:p>
    <w:p w14:paraId="5BBC6F02" w14:textId="77777777" w:rsidR="004354BF" w:rsidRDefault="004354BF" w:rsidP="009D609B"/>
    <w:p w14:paraId="4A48904E" w14:textId="0E16C2DF" w:rsidR="00AD18FB" w:rsidRDefault="00AD18FB" w:rsidP="00AD18FB">
      <w:pPr>
        <w:pStyle w:val="Heading3"/>
      </w:pPr>
      <w:r>
        <w:t>Justification on Proposed Segmentation for Closure Rate</w:t>
      </w:r>
    </w:p>
    <w:p w14:paraId="1A3EADC5" w14:textId="77777777" w:rsidR="00AD18FB" w:rsidRDefault="00AD18FB" w:rsidP="00AD18FB"/>
    <w:p w14:paraId="1D5AE46B" w14:textId="7728D89E" w:rsidR="00AD18FB" w:rsidRPr="00CD78D3" w:rsidRDefault="009576D8" w:rsidP="00AD18FB">
      <w:pPr>
        <w:rPr>
          <w:u w:val="single"/>
        </w:rPr>
      </w:pPr>
      <w:r>
        <w:rPr>
          <w:u w:val="single"/>
        </w:rPr>
        <w:t>Segmentation by Product Type</w:t>
      </w:r>
    </w:p>
    <w:p w14:paraId="719D205A" w14:textId="77777777" w:rsidR="00AD18FB" w:rsidRDefault="00AD18FB" w:rsidP="00AD18FB"/>
    <w:p w14:paraId="7D78F069" w14:textId="11BF086E" w:rsidR="009576D8" w:rsidRDefault="009576D8" w:rsidP="00AD18FB">
      <w:r>
        <w:t xml:space="preserve">It is natural to ask </w:t>
      </w:r>
      <w:r w:rsidR="00390F23">
        <w:t xml:space="preserve">the reason </w:t>
      </w:r>
      <w:r>
        <w:t xml:space="preserve">why </w:t>
      </w:r>
      <w:r w:rsidR="00EB2D02">
        <w:t xml:space="preserve">the </w:t>
      </w:r>
      <w:r>
        <w:t>closure rate model did not follow the same segmentation (i.e., segment with respect to LOB</w:t>
      </w:r>
      <w:r w:rsidR="00EB2D02">
        <w:t>s</w:t>
      </w:r>
      <w:r>
        <w:t>) as in utilization rate model.</w:t>
      </w:r>
      <w:r w:rsidR="004354A0">
        <w:t xml:space="preserve"> </w:t>
      </w:r>
      <w:r>
        <w:t>The figure below shows the historical closure rate by the 7 segmentation</w:t>
      </w:r>
      <w:r w:rsidR="00EB2D02">
        <w:t>s</w:t>
      </w:r>
      <w:r>
        <w:t xml:space="preserve"> listed in </w:t>
      </w:r>
      <w:r>
        <w:fldChar w:fldCharType="begin"/>
      </w:r>
      <w:r>
        <w:instrText xml:space="preserve"> REF _Ref519253219 \h </w:instrText>
      </w:r>
      <w:r>
        <w:fldChar w:fldCharType="separate"/>
      </w:r>
      <w:r>
        <w:t xml:space="preserve">Figure </w:t>
      </w:r>
      <w:r>
        <w:rPr>
          <w:noProof/>
        </w:rPr>
        <w:t>1</w:t>
      </w:r>
      <w:r>
        <w:fldChar w:fldCharType="end"/>
      </w:r>
      <w:r>
        <w:t>.</w:t>
      </w:r>
    </w:p>
    <w:p w14:paraId="3BFB2D78" w14:textId="77777777" w:rsidR="009576D8" w:rsidRDefault="009576D8" w:rsidP="00AD18FB"/>
    <w:p w14:paraId="633CA910" w14:textId="77777777" w:rsidR="00F554CF" w:rsidRDefault="009576D8" w:rsidP="00F554CF">
      <w:pPr>
        <w:keepNext/>
        <w:jc w:val="center"/>
      </w:pPr>
      <w:r w:rsidRPr="009576D8">
        <w:rPr>
          <w:noProof/>
          <w:lang w:eastAsia="ko-KR"/>
        </w:rPr>
        <w:drawing>
          <wp:inline distT="0" distB="0" distL="0" distR="0" wp14:anchorId="7FD610E8" wp14:editId="285902FD">
            <wp:extent cx="5943600" cy="2989302"/>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89302"/>
                    </a:xfrm>
                    <a:prstGeom prst="rect">
                      <a:avLst/>
                    </a:prstGeom>
                    <a:noFill/>
                    <a:ln>
                      <a:noFill/>
                    </a:ln>
                  </pic:spPr>
                </pic:pic>
              </a:graphicData>
            </a:graphic>
          </wp:inline>
        </w:drawing>
      </w:r>
    </w:p>
    <w:p w14:paraId="24C5A558" w14:textId="34D9BDE8" w:rsidR="009576D8" w:rsidRDefault="00F554CF" w:rsidP="00F554CF">
      <w:pPr>
        <w:pStyle w:val="Caption"/>
      </w:pPr>
      <w:r>
        <w:t xml:space="preserve">Figure </w:t>
      </w:r>
      <w:r w:rsidR="001B0814">
        <w:fldChar w:fldCharType="begin"/>
      </w:r>
      <w:r w:rsidR="001B0814">
        <w:instrText xml:space="preserve"> SEQ Figure \* ARABIC </w:instrText>
      </w:r>
      <w:r w:rsidR="001B0814">
        <w:fldChar w:fldCharType="separate"/>
      </w:r>
      <w:r w:rsidR="004566BD">
        <w:rPr>
          <w:noProof/>
        </w:rPr>
        <w:t>9</w:t>
      </w:r>
      <w:r w:rsidR="001B0814">
        <w:rPr>
          <w:noProof/>
        </w:rPr>
        <w:fldChar w:fldCharType="end"/>
      </w:r>
      <w:r>
        <w:t>: Closure Rate by LOB (i.e., Segmentation used in Utilization Rate)</w:t>
      </w:r>
    </w:p>
    <w:p w14:paraId="61727456" w14:textId="77777777" w:rsidR="009576D8" w:rsidRDefault="009576D8" w:rsidP="00AD18FB"/>
    <w:p w14:paraId="73E39D58" w14:textId="0EA507BE" w:rsidR="009576D8" w:rsidRDefault="009576D8" w:rsidP="00AD18FB">
      <w:r>
        <w:t>It is not easy to find the stable trend of closure rate across sampling period</w:t>
      </w:r>
      <w:r w:rsidR="00EB2D02">
        <w:t>s</w:t>
      </w:r>
      <w:r>
        <w:t xml:space="preserve">. Model users assumed that closure behavior </w:t>
      </w:r>
      <w:r w:rsidR="00EB2D02">
        <w:t xml:space="preserve">would be </w:t>
      </w:r>
      <w:r>
        <w:t xml:space="preserve">more homogenous with respect to the product type not by the LOB. For instance, product type of ‘domestic’ </w:t>
      </w:r>
      <w:r w:rsidR="001736F9">
        <w:t xml:space="preserve">is generated by following </w:t>
      </w:r>
      <w:r w:rsidR="001F08C7">
        <w:t xml:space="preserve">non-retail </w:t>
      </w:r>
      <w:r w:rsidR="001736F9">
        <w:t>LOBs</w:t>
      </w:r>
      <w:r w:rsidR="00AA1346">
        <w:t xml:space="preserve"> as of May 2018 portfolio</w:t>
      </w:r>
      <w:r w:rsidR="00AA1346">
        <w:rPr>
          <w:rStyle w:val="FootnoteReference"/>
        </w:rPr>
        <w:footnoteReference w:id="10"/>
      </w:r>
      <w:r w:rsidR="001736F9">
        <w:t>:</w:t>
      </w:r>
    </w:p>
    <w:p w14:paraId="64739729" w14:textId="77777777" w:rsidR="00464E43" w:rsidRDefault="00464E43" w:rsidP="00AD18FB"/>
    <w:p w14:paraId="4F0F6CCC" w14:textId="521777D5" w:rsidR="001736F9" w:rsidRDefault="00AA1346" w:rsidP="001736F9">
      <w:pPr>
        <w:pStyle w:val="ListParagraph"/>
        <w:numPr>
          <w:ilvl w:val="0"/>
          <w:numId w:val="29"/>
        </w:numPr>
      </w:pPr>
      <w:r>
        <w:t>CIB LOB: $40.7B</w:t>
      </w:r>
    </w:p>
    <w:p w14:paraId="3FC1439E" w14:textId="3FA8A347" w:rsidR="00AA1346" w:rsidRDefault="00AA1346" w:rsidP="001736F9">
      <w:pPr>
        <w:pStyle w:val="ListParagraph"/>
        <w:numPr>
          <w:ilvl w:val="0"/>
          <w:numId w:val="29"/>
        </w:numPr>
      </w:pPr>
      <w:r>
        <w:t>CML</w:t>
      </w:r>
      <w:r w:rsidR="00827BBB">
        <w:t xml:space="preserve"> </w:t>
      </w:r>
      <w:r>
        <w:t>LOB: $7.7B</w:t>
      </w:r>
    </w:p>
    <w:p w14:paraId="6815D38E" w14:textId="79782F00" w:rsidR="00AA1346" w:rsidRDefault="00AA1346" w:rsidP="001736F9">
      <w:pPr>
        <w:pStyle w:val="ListParagraph"/>
        <w:numPr>
          <w:ilvl w:val="0"/>
          <w:numId w:val="29"/>
        </w:numPr>
      </w:pPr>
      <w:r>
        <w:t>Private Wealth Management (PWM) LOB: $5.3B</w:t>
      </w:r>
    </w:p>
    <w:p w14:paraId="15002DB5" w14:textId="36C1D6A2" w:rsidR="00AA1346" w:rsidRDefault="00AA1346" w:rsidP="001736F9">
      <w:pPr>
        <w:pStyle w:val="ListParagraph"/>
        <w:numPr>
          <w:ilvl w:val="0"/>
          <w:numId w:val="29"/>
        </w:numPr>
      </w:pPr>
      <w:r>
        <w:t>CRE LOB: $4.6B</w:t>
      </w:r>
    </w:p>
    <w:p w14:paraId="06D50F8A" w14:textId="77777777" w:rsidR="00AA1346" w:rsidRDefault="00AA1346" w:rsidP="00AA1346"/>
    <w:p w14:paraId="6C7E3338" w14:textId="60487069" w:rsidR="00F554CF" w:rsidRDefault="00F554CF" w:rsidP="00AA1346">
      <w:r>
        <w:lastRenderedPageBreak/>
        <w:t>Also, the segmentation by product type is beneficial for the business, as model users generate closure rate report with respect to different product type.</w:t>
      </w:r>
    </w:p>
    <w:p w14:paraId="5DD2DF1C" w14:textId="77777777" w:rsidR="00F554CF" w:rsidRDefault="00F554CF" w:rsidP="00F554CF">
      <w:pPr>
        <w:rPr>
          <w:u w:val="single"/>
        </w:rPr>
      </w:pPr>
    </w:p>
    <w:p w14:paraId="4DC242DC" w14:textId="7D502D61" w:rsidR="00F554CF" w:rsidRPr="00CD78D3" w:rsidRDefault="00F554CF" w:rsidP="00F554CF">
      <w:pPr>
        <w:rPr>
          <w:u w:val="single"/>
        </w:rPr>
      </w:pPr>
      <w:r>
        <w:rPr>
          <w:u w:val="single"/>
        </w:rPr>
        <w:t>Exclusion of Floor Plan</w:t>
      </w:r>
    </w:p>
    <w:p w14:paraId="43A3FA4C" w14:textId="77777777" w:rsidR="00F554CF" w:rsidRDefault="00F554CF" w:rsidP="00AA1346"/>
    <w:p w14:paraId="59AC7EE7" w14:textId="7190D0E8" w:rsidR="00F554CF" w:rsidRDefault="00F554CF" w:rsidP="00AA1346">
      <w:r>
        <w:t>The balance of floor plan is around $3.4B as of May 2018 portfolio, so it needs to be included in</w:t>
      </w:r>
      <w:r w:rsidR="00390F23">
        <w:t xml:space="preserve"> the closure model. However, model developer</w:t>
      </w:r>
      <w:r>
        <w:t xml:space="preserve"> observed from the closure rate of floor plan in </w:t>
      </w:r>
      <w:r>
        <w:fldChar w:fldCharType="begin"/>
      </w:r>
      <w:r>
        <w:instrText xml:space="preserve"> REF _Ref519258976 \h </w:instrText>
      </w:r>
      <w:r>
        <w:fldChar w:fldCharType="separate"/>
      </w:r>
      <w:r>
        <w:t xml:space="preserve">Figure </w:t>
      </w:r>
      <w:r>
        <w:rPr>
          <w:noProof/>
        </w:rPr>
        <w:t>7</w:t>
      </w:r>
      <w:r>
        <w:fldChar w:fldCharType="end"/>
      </w:r>
      <w:r w:rsidR="00390F23">
        <w:t xml:space="preserve"> that </w:t>
      </w:r>
      <w:r>
        <w:t>the floor plan showed very unstable closure rate across the sampling period</w:t>
      </w:r>
      <w:r w:rsidR="00C42A59">
        <w:t>s</w:t>
      </w:r>
      <w:r>
        <w:t>.</w:t>
      </w:r>
    </w:p>
    <w:p w14:paraId="4F4F4267" w14:textId="77777777" w:rsidR="00F554CF" w:rsidRDefault="00F554CF" w:rsidP="00AA1346"/>
    <w:p w14:paraId="74D392E8" w14:textId="2A459927" w:rsidR="00F554CF" w:rsidRDefault="00F554CF" w:rsidP="00AA1346">
      <w:r>
        <w:t>Model developer examined the particular period in Dec 2016 to Feb 2017, when the floor plan closure rate was change</w:t>
      </w:r>
      <w:r w:rsidR="00C42A59">
        <w:t>d</w:t>
      </w:r>
      <w:r>
        <w:t xml:space="preserve"> to 0%, 28.43%, 3.2%, respectively.</w:t>
      </w:r>
    </w:p>
    <w:p w14:paraId="6EC3CDD8" w14:textId="77777777" w:rsidR="00F554CF" w:rsidRDefault="00F554CF" w:rsidP="00AA1346"/>
    <w:p w14:paraId="7F4A0B2D" w14:textId="192C4083" w:rsidR="00F33B35" w:rsidRDefault="00464E43" w:rsidP="00F33B35">
      <w:pPr>
        <w:keepNext/>
        <w:jc w:val="center"/>
      </w:pPr>
      <w:r w:rsidRPr="00464E43">
        <w:rPr>
          <w:noProof/>
          <w:lang w:eastAsia="ko-KR"/>
        </w:rPr>
        <w:drawing>
          <wp:inline distT="0" distB="0" distL="0" distR="0" wp14:anchorId="484A3887" wp14:editId="4F80BF00">
            <wp:extent cx="4667250" cy="2676525"/>
            <wp:effectExtent l="0" t="0" r="0" b="9525"/>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2676525"/>
                    </a:xfrm>
                    <a:prstGeom prst="rect">
                      <a:avLst/>
                    </a:prstGeom>
                    <a:noFill/>
                    <a:ln>
                      <a:noFill/>
                    </a:ln>
                  </pic:spPr>
                </pic:pic>
              </a:graphicData>
            </a:graphic>
          </wp:inline>
        </w:drawing>
      </w:r>
    </w:p>
    <w:p w14:paraId="31D9C21A" w14:textId="7B699513" w:rsidR="00F554CF" w:rsidRDefault="00F33B35" w:rsidP="00F33B35">
      <w:pPr>
        <w:pStyle w:val="Caption"/>
      </w:pPr>
      <w:r>
        <w:t xml:space="preserve">Figure </w:t>
      </w:r>
      <w:r w:rsidR="001B0814">
        <w:fldChar w:fldCharType="begin"/>
      </w:r>
      <w:r w:rsidR="001B0814">
        <w:instrText xml:space="preserve"> SEQ Figure \* ARABIC </w:instrText>
      </w:r>
      <w:r w:rsidR="001B0814">
        <w:fldChar w:fldCharType="separate"/>
      </w:r>
      <w:r w:rsidR="004566BD">
        <w:rPr>
          <w:noProof/>
        </w:rPr>
        <w:t>10</w:t>
      </w:r>
      <w:r w:rsidR="001B0814">
        <w:rPr>
          <w:noProof/>
        </w:rPr>
        <w:fldChar w:fldCharType="end"/>
      </w:r>
      <w:r>
        <w:t>: Floor Plan Closed Account as of Dec 2016, Jan 2017 and Feb 2017</w:t>
      </w:r>
    </w:p>
    <w:p w14:paraId="308BCCD0" w14:textId="77777777" w:rsidR="00F554CF" w:rsidRDefault="00F554CF" w:rsidP="00AA1346"/>
    <w:p w14:paraId="498D4A7F" w14:textId="4A62149F" w:rsidR="00F554CF" w:rsidRDefault="00F33B35" w:rsidP="00AA1346">
      <w:r>
        <w:t>The 0% closure rate in Dec 2016 indicates that there was no closed account. There w</w:t>
      </w:r>
      <w:r w:rsidR="00C42A59">
        <w:t>ere</w:t>
      </w:r>
      <w:r>
        <w:t xml:space="preserve"> 6 account</w:t>
      </w:r>
      <w:r w:rsidR="00C42A59">
        <w:t>s</w:t>
      </w:r>
      <w:r>
        <w:t xml:space="preserve"> closed in Jan 2017 to jump the closure rate to 28.43%. The following month (i.e., Feb 2017), there w</w:t>
      </w:r>
      <w:r w:rsidR="00C42A59">
        <w:t>ere</w:t>
      </w:r>
      <w:r>
        <w:t xml:space="preserve"> only 3 account</w:t>
      </w:r>
      <w:r w:rsidR="00C42A59">
        <w:t>s</w:t>
      </w:r>
      <w:r>
        <w:t xml:space="preserve"> closed to have 3.2%</w:t>
      </w:r>
      <w:r w:rsidR="00C42A59">
        <w:t xml:space="preserve"> closure rate</w:t>
      </w:r>
      <w:r>
        <w:t>.</w:t>
      </w:r>
    </w:p>
    <w:p w14:paraId="602AE938" w14:textId="77777777" w:rsidR="00F33B35" w:rsidRDefault="00F33B35" w:rsidP="00AA1346"/>
    <w:p w14:paraId="2213D876" w14:textId="276A0AEB" w:rsidR="00F33B35" w:rsidRDefault="00F33B35" w:rsidP="00AA1346">
      <w:r>
        <w:t>Model developer observed that less than 10 accounts were closed each month, and the total commitment on these account is subject to</w:t>
      </w:r>
      <w:r w:rsidR="00C42A59">
        <w:t xml:space="preserve"> the</w:t>
      </w:r>
      <w:r>
        <w:t xml:space="preserve"> idiosyncratic characteristic of loans. Therefore, </w:t>
      </w:r>
      <w:r w:rsidR="00390F23">
        <w:t>model developers</w:t>
      </w:r>
      <w:r>
        <w:t xml:space="preserve"> </w:t>
      </w:r>
      <w:r w:rsidR="00464E43">
        <w:t>do</w:t>
      </w:r>
      <w:r>
        <w:t xml:space="preserve"> not expect to have </w:t>
      </w:r>
      <w:r w:rsidR="00464E43">
        <w:t xml:space="preserve">stable </w:t>
      </w:r>
      <w:r>
        <w:t>closure rates</w:t>
      </w:r>
      <w:r w:rsidR="00464E43">
        <w:t>,</w:t>
      </w:r>
      <w:r>
        <w:t xml:space="preserve"> when </w:t>
      </w:r>
      <w:r w:rsidR="00464E43">
        <w:t xml:space="preserve">month-to-month number of </w:t>
      </w:r>
      <w:r w:rsidR="00390F23">
        <w:t xml:space="preserve">closed </w:t>
      </w:r>
      <w:r w:rsidR="00464E43">
        <w:t>account is small.</w:t>
      </w:r>
    </w:p>
    <w:p w14:paraId="24F4B166" w14:textId="77777777" w:rsidR="00464E43" w:rsidRDefault="00464E43" w:rsidP="00AA1346"/>
    <w:p w14:paraId="1D59F306" w14:textId="2A31A726" w:rsidR="00464E43" w:rsidRDefault="00C42A59" w:rsidP="00AA1346">
      <w:r>
        <w:t>M</w:t>
      </w:r>
      <w:r w:rsidR="00464E43">
        <w:t>odel developer and users agreed to exclude floor plan from the closure rate model. Floor plan closure rate would be managed by subject matter expert</w:t>
      </w:r>
      <w:r w:rsidR="00390F23">
        <w:t xml:space="preserve"> (SME)</w:t>
      </w:r>
      <w:r w:rsidR="00464E43">
        <w:t xml:space="preserve"> based on the current view on the market condition.</w:t>
      </w:r>
    </w:p>
    <w:p w14:paraId="3BA5D89B" w14:textId="77777777" w:rsidR="00464E43" w:rsidRDefault="00464E43" w:rsidP="00AA1346"/>
    <w:p w14:paraId="5B078A45" w14:textId="77777777" w:rsidR="009E519E" w:rsidRDefault="009E519E" w:rsidP="00AA1346"/>
    <w:p w14:paraId="4B505B12" w14:textId="77777777" w:rsidR="009E519E" w:rsidRDefault="009E519E" w:rsidP="00AA1346"/>
    <w:p w14:paraId="2134F229" w14:textId="77777777" w:rsidR="00587A82" w:rsidRDefault="00587A82" w:rsidP="009E519E">
      <w:pPr>
        <w:rPr>
          <w:u w:val="single"/>
        </w:rPr>
      </w:pPr>
    </w:p>
    <w:p w14:paraId="28D59297" w14:textId="501E9FC7" w:rsidR="009E519E" w:rsidRPr="00CD78D3" w:rsidRDefault="009E519E" w:rsidP="009E519E">
      <w:pPr>
        <w:rPr>
          <w:u w:val="single"/>
        </w:rPr>
      </w:pPr>
      <w:bookmarkStart w:id="3" w:name="_GoBack"/>
      <w:bookmarkEnd w:id="3"/>
      <w:r>
        <w:rPr>
          <w:u w:val="single"/>
        </w:rPr>
        <w:lastRenderedPageBreak/>
        <w:t xml:space="preserve">Exclusion of </w:t>
      </w:r>
      <w:r>
        <w:rPr>
          <w:u w:val="single"/>
        </w:rPr>
        <w:t>International</w:t>
      </w:r>
    </w:p>
    <w:p w14:paraId="51BF0953" w14:textId="77777777" w:rsidR="009E519E" w:rsidRDefault="009E519E" w:rsidP="00AA1346"/>
    <w:p w14:paraId="41E469AA" w14:textId="15EC4D86" w:rsidR="009E519E" w:rsidRDefault="009E519E" w:rsidP="00AA1346">
      <w:r>
        <w:t>Commercial International has $0.8B balance as of May 2018 portfolio to be the second largest product type which is proposed to be excluded from the closure rate modeling.</w:t>
      </w:r>
    </w:p>
    <w:p w14:paraId="56B91876" w14:textId="77777777" w:rsidR="009E519E" w:rsidRDefault="009E519E" w:rsidP="00AA1346"/>
    <w:p w14:paraId="2566BB50" w14:textId="2FFEE116" w:rsidR="009E519E" w:rsidRDefault="009E519E" w:rsidP="00AA1346">
      <w:r>
        <w:t xml:space="preserve">Model developer also observed that the unstable closure rate is caused by the small number of closed account in each month. The example of </w:t>
      </w:r>
      <w:r w:rsidR="004566BD">
        <w:t xml:space="preserve">unstable </w:t>
      </w:r>
      <w:r>
        <w:t>closure rate</w:t>
      </w:r>
      <w:r w:rsidR="004566BD">
        <w:t xml:space="preserve"> of international product type</w:t>
      </w:r>
      <w:r>
        <w:t xml:space="preserve"> from </w:t>
      </w:r>
      <w:r w:rsidR="004566BD">
        <w:t>Oct 2017 to Dec 2017 is shown below.</w:t>
      </w:r>
    </w:p>
    <w:p w14:paraId="14738D42" w14:textId="77777777" w:rsidR="004566BD" w:rsidRDefault="004566BD" w:rsidP="00AA1346"/>
    <w:p w14:paraId="73EA1B02" w14:textId="77777777" w:rsidR="004566BD" w:rsidRDefault="004566BD" w:rsidP="004566BD">
      <w:pPr>
        <w:keepNext/>
        <w:jc w:val="center"/>
      </w:pPr>
      <w:r w:rsidRPr="004566BD">
        <w:drawing>
          <wp:inline distT="0" distB="0" distL="0" distR="0" wp14:anchorId="63D258AF" wp14:editId="7E8E97FD">
            <wp:extent cx="5162550" cy="233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2550" cy="2333625"/>
                    </a:xfrm>
                    <a:prstGeom prst="rect">
                      <a:avLst/>
                    </a:prstGeom>
                    <a:noFill/>
                    <a:ln>
                      <a:noFill/>
                    </a:ln>
                  </pic:spPr>
                </pic:pic>
              </a:graphicData>
            </a:graphic>
          </wp:inline>
        </w:drawing>
      </w:r>
    </w:p>
    <w:p w14:paraId="600DE71A" w14:textId="39276E96" w:rsidR="004566BD" w:rsidRDefault="004566BD" w:rsidP="004566BD">
      <w:pPr>
        <w:pStyle w:val="Caption"/>
      </w:pPr>
      <w:r>
        <w:t xml:space="preserve">Figure </w:t>
      </w:r>
      <w:r>
        <w:fldChar w:fldCharType="begin"/>
      </w:r>
      <w:r>
        <w:instrText xml:space="preserve"> SEQ Figure \* ARABIC </w:instrText>
      </w:r>
      <w:r>
        <w:fldChar w:fldCharType="separate"/>
      </w:r>
      <w:r>
        <w:rPr>
          <w:noProof/>
        </w:rPr>
        <w:t>11</w:t>
      </w:r>
      <w:r>
        <w:fldChar w:fldCharType="end"/>
      </w:r>
      <w:r>
        <w:t>: International Closed Account as of Oct 2017, Nov 2017 and Dec 2017</w:t>
      </w:r>
    </w:p>
    <w:p w14:paraId="59D0C521" w14:textId="77777777" w:rsidR="004566BD" w:rsidRDefault="004566BD" w:rsidP="004566BD"/>
    <w:p w14:paraId="38CA440A" w14:textId="0B534D93" w:rsidR="004566BD" w:rsidRPr="004566BD" w:rsidRDefault="004566BD" w:rsidP="004566BD">
      <w:r>
        <w:t>It is observed from the example that there are very few closed accounts (less than 5 accounts) for international product type. As such, the closure rate is expected to be subject to the idiosyncratic characteristic of loans.</w:t>
      </w:r>
    </w:p>
    <w:p w14:paraId="74F05971" w14:textId="77777777" w:rsidR="009E519E" w:rsidRDefault="009E519E" w:rsidP="00AA1346"/>
    <w:p w14:paraId="21BC8619" w14:textId="77CF4A1D" w:rsidR="004566BD" w:rsidRDefault="004566BD" w:rsidP="00AA1346">
      <w:r>
        <w:t>Model developer and users agreed to exclude international from the closure rate model. The closure rate for this product would be managed by SME based on the current view on the market condition.</w:t>
      </w:r>
    </w:p>
    <w:p w14:paraId="64C2B1DB" w14:textId="77777777" w:rsidR="009E519E" w:rsidRDefault="009E519E" w:rsidP="00AA1346"/>
    <w:p w14:paraId="74B5DA55" w14:textId="5578EFF1" w:rsidR="00464E43" w:rsidRPr="00CD78D3" w:rsidRDefault="00464E43" w:rsidP="00464E43">
      <w:pPr>
        <w:rPr>
          <w:u w:val="single"/>
        </w:rPr>
      </w:pPr>
      <w:r>
        <w:rPr>
          <w:u w:val="single"/>
        </w:rPr>
        <w:t>Exclusion of Tax Exempt</w:t>
      </w:r>
      <w:r w:rsidR="004566BD">
        <w:rPr>
          <w:u w:val="single"/>
        </w:rPr>
        <w:t xml:space="preserve"> and CRE</w:t>
      </w:r>
    </w:p>
    <w:p w14:paraId="755E5152" w14:textId="77777777" w:rsidR="00464E43" w:rsidRDefault="00464E43" w:rsidP="00AA1346"/>
    <w:p w14:paraId="6BABD791" w14:textId="37EAF824" w:rsidR="00464E43" w:rsidRDefault="00464E43" w:rsidP="00AA1346">
      <w:r>
        <w:t xml:space="preserve">Tax exempt </w:t>
      </w:r>
      <w:r w:rsidR="004566BD">
        <w:t xml:space="preserve">and CRE </w:t>
      </w:r>
      <w:r>
        <w:t>product type</w:t>
      </w:r>
      <w:r w:rsidR="004566BD">
        <w:t>s</w:t>
      </w:r>
      <w:r>
        <w:t xml:space="preserve"> also suffered from the small number of closed account. Also, the balance as of May 2018 was $0.23B</w:t>
      </w:r>
      <w:r w:rsidR="004566BD">
        <w:t xml:space="preserve"> and $0.57B, respectively. Model developer</w:t>
      </w:r>
      <w:r>
        <w:t xml:space="preserve"> conclude</w:t>
      </w:r>
      <w:r w:rsidR="004566BD">
        <w:t>d</w:t>
      </w:r>
      <w:r>
        <w:t xml:space="preserve"> that the closure rate of tax exempt can be managed </w:t>
      </w:r>
      <w:r w:rsidR="00390F23">
        <w:t xml:space="preserve">SME </w:t>
      </w:r>
      <w:r>
        <w:t>based on the current market condition.</w:t>
      </w:r>
    </w:p>
    <w:p w14:paraId="59E94AFE" w14:textId="77777777" w:rsidR="00C60FD4" w:rsidRDefault="00C60FD4" w:rsidP="00AA1346"/>
    <w:p w14:paraId="128495D2" w14:textId="77777777" w:rsidR="004354A0" w:rsidRDefault="004354A0" w:rsidP="00AA1346"/>
    <w:p w14:paraId="68B32106" w14:textId="77777777" w:rsidR="004354A0" w:rsidRDefault="004354A0" w:rsidP="00AA1346"/>
    <w:p w14:paraId="3B06E4CE" w14:textId="77777777" w:rsidR="004354A0" w:rsidRDefault="004354A0" w:rsidP="00AA1346"/>
    <w:p w14:paraId="4C3E4289" w14:textId="77777777" w:rsidR="004566BD" w:rsidRDefault="004566BD" w:rsidP="00AA1346"/>
    <w:p w14:paraId="0B8B6A39" w14:textId="77777777" w:rsidR="004566BD" w:rsidRDefault="004566BD" w:rsidP="00AA1346"/>
    <w:p w14:paraId="65EEE9DB" w14:textId="46F6C188" w:rsidR="00C60FD4" w:rsidRDefault="00C60FD4" w:rsidP="00C60FD4">
      <w:pPr>
        <w:pStyle w:val="Heading2"/>
      </w:pPr>
      <w:r>
        <w:lastRenderedPageBreak/>
        <w:t>Appendix</w:t>
      </w:r>
    </w:p>
    <w:p w14:paraId="57A09812" w14:textId="08169FF9" w:rsidR="00C60FD4" w:rsidRDefault="00C60FD4" w:rsidP="00C60FD4">
      <w:pPr>
        <w:pStyle w:val="Heading3"/>
      </w:pPr>
      <w:r>
        <w:t xml:space="preserve">R </w:t>
      </w:r>
      <w:r w:rsidR="00390F23">
        <w:t>C</w:t>
      </w:r>
      <w:r>
        <w:t xml:space="preserve">ode </w:t>
      </w:r>
    </w:p>
    <w:p w14:paraId="318DB0DE" w14:textId="77777777" w:rsidR="00C60FD4" w:rsidRDefault="00C60FD4" w:rsidP="00C60FD4"/>
    <w:p w14:paraId="23C71070" w14:textId="3FE15636" w:rsidR="00C60FD4" w:rsidRDefault="004566BD" w:rsidP="00C60FD4">
      <w:r>
        <w:object w:dxaOrig="1950" w:dyaOrig="811" w14:anchorId="212E0D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7.5pt;height:40.5pt" o:ole="">
            <v:imagedata r:id="rId16" o:title=""/>
          </v:shape>
          <o:OLEObject Type="Embed" ProgID="Package" ShapeID="_x0000_i1034" DrawAspect="Content" ObjectID="_1593353623" r:id="rId17"/>
        </w:object>
      </w:r>
      <w:r w:rsidR="00C60FD4">
        <w:object w:dxaOrig="600" w:dyaOrig="811" w14:anchorId="09158679">
          <v:shape id="_x0000_i1025" type="#_x0000_t75" style="width:30pt;height:40.5pt" o:ole="">
            <v:imagedata r:id="rId18" o:title=""/>
          </v:shape>
          <o:OLEObject Type="Embed" ProgID="Package" ShapeID="_x0000_i1025" DrawAspect="Content" ObjectID="_1593353624" r:id="rId19"/>
        </w:object>
      </w:r>
      <w:r w:rsidR="00C60FD4">
        <w:object w:dxaOrig="600" w:dyaOrig="811" w14:anchorId="4D5C6412">
          <v:shape id="_x0000_i1026" type="#_x0000_t75" style="width:30pt;height:40.5pt" o:ole="">
            <v:imagedata r:id="rId20" o:title=""/>
          </v:shape>
          <o:OLEObject Type="Embed" ProgID="Package" ShapeID="_x0000_i1026" DrawAspect="Content" ObjectID="_1593353625" r:id="rId21"/>
        </w:object>
      </w:r>
    </w:p>
    <w:p w14:paraId="6C77ED43" w14:textId="77777777" w:rsidR="00C60FD4" w:rsidRDefault="00C60FD4" w:rsidP="00C60FD4"/>
    <w:p w14:paraId="31528EBA" w14:textId="52E5F6A9" w:rsidR="00E46D04" w:rsidRDefault="00E46D04" w:rsidP="00C60FD4"/>
    <w:p w14:paraId="3928C88A" w14:textId="11FA0C1D" w:rsidR="00BE0F4D" w:rsidRDefault="00BE0F4D" w:rsidP="00C60FD4">
      <w:r>
        <w:object w:dxaOrig="1680" w:dyaOrig="811" w14:anchorId="1B6B4F10">
          <v:shape id="_x0000_i1027" type="#_x0000_t75" style="width:84pt;height:40.5pt" o:ole="">
            <v:imagedata r:id="rId22" o:title=""/>
          </v:shape>
          <o:OLEObject Type="Embed" ProgID="Package" ShapeID="_x0000_i1027" DrawAspect="Content" ObjectID="_1593353626" r:id="rId23"/>
        </w:object>
      </w:r>
      <w:r w:rsidR="004566BD">
        <w:object w:dxaOrig="2341" w:dyaOrig="811" w14:anchorId="44948D35">
          <v:shape id="_x0000_i1033" type="#_x0000_t75" style="width:117pt;height:40.5pt" o:ole="">
            <v:imagedata r:id="rId24" o:title=""/>
          </v:shape>
          <o:OLEObject Type="Embed" ProgID="Package" ShapeID="_x0000_i1033" DrawAspect="Content" ObjectID="_1593353627" r:id="rId25"/>
        </w:object>
      </w:r>
    </w:p>
    <w:p w14:paraId="74979CA0" w14:textId="79EFE341" w:rsidR="00AE3373" w:rsidRDefault="00AE3373" w:rsidP="00AE3373">
      <w:pPr>
        <w:pStyle w:val="Heading3"/>
      </w:pPr>
      <w:r>
        <w:t xml:space="preserve">Excel Spreadsheet for </w:t>
      </w:r>
      <w:r w:rsidR="00390F23">
        <w:t>Result S</w:t>
      </w:r>
      <w:r>
        <w:t>ummary</w:t>
      </w:r>
    </w:p>
    <w:p w14:paraId="30123688" w14:textId="77777777" w:rsidR="00AE3373" w:rsidRDefault="00AE3373" w:rsidP="00AE3373"/>
    <w:p w14:paraId="5FCA2F69" w14:textId="77777777" w:rsidR="00AE3373" w:rsidRDefault="00AE3373" w:rsidP="00AE3373">
      <w:r>
        <w:object w:dxaOrig="1531" w:dyaOrig="990" w14:anchorId="6A89B173">
          <v:shape id="_x0000_i1028" type="#_x0000_t75" style="width:76.5pt;height:49.5pt" o:ole="">
            <v:imagedata r:id="rId26" o:title=""/>
          </v:shape>
          <o:OLEObject Type="Embed" ProgID="Excel.Sheet.12" ShapeID="_x0000_i1028" DrawAspect="Icon" ObjectID="_1593353628" r:id="rId27"/>
        </w:object>
      </w:r>
    </w:p>
    <w:p w14:paraId="442CFD30" w14:textId="77777777" w:rsidR="004566BD" w:rsidRDefault="004566BD" w:rsidP="00AE3373"/>
    <w:p w14:paraId="3D5EB544" w14:textId="7E76C81F" w:rsidR="00AE3373" w:rsidRDefault="004566BD" w:rsidP="00AE3373">
      <w:r>
        <w:object w:dxaOrig="1531" w:dyaOrig="990" w14:anchorId="2DE84F0A">
          <v:shape id="_x0000_i1032" type="#_x0000_t75" style="width:76.5pt;height:49.5pt" o:ole="">
            <v:imagedata r:id="rId28" o:title=""/>
          </v:shape>
          <o:OLEObject Type="Embed" ProgID="Excel.Sheet.12" ShapeID="_x0000_i1032" DrawAspect="Icon" ObjectID="_1593353629" r:id="rId29"/>
        </w:object>
      </w:r>
    </w:p>
    <w:p w14:paraId="695E720F" w14:textId="77777777" w:rsidR="00390F23" w:rsidRDefault="00390F23" w:rsidP="00AE3373"/>
    <w:p w14:paraId="674A8FB9" w14:textId="1DA69BF9" w:rsidR="00390F23" w:rsidRDefault="00390F23" w:rsidP="00390F23">
      <w:pPr>
        <w:pStyle w:val="Heading3"/>
      </w:pPr>
      <w:r>
        <w:t>Email Communication</w:t>
      </w:r>
    </w:p>
    <w:p w14:paraId="6703B985" w14:textId="77777777" w:rsidR="00390F23" w:rsidRDefault="00390F23" w:rsidP="00390F23"/>
    <w:p w14:paraId="24A3F599" w14:textId="77777777" w:rsidR="00D04CA3" w:rsidRDefault="00D04CA3" w:rsidP="00390F23">
      <w:r>
        <w:object w:dxaOrig="4860" w:dyaOrig="816" w14:anchorId="4F1B3717">
          <v:shape id="_x0000_i1029" type="#_x0000_t75" style="width:243pt;height:40.5pt" o:ole="">
            <v:imagedata r:id="rId30" o:title=""/>
          </v:shape>
          <o:OLEObject Type="Embed" ProgID="Package" ShapeID="_x0000_i1029" DrawAspect="Content" ObjectID="_1593353630" r:id="rId31"/>
        </w:object>
      </w:r>
    </w:p>
    <w:p w14:paraId="621D5A26" w14:textId="77777777" w:rsidR="00D04CA3" w:rsidRPr="00390F23" w:rsidRDefault="00D04CA3" w:rsidP="00390F23">
      <w:r>
        <w:object w:dxaOrig="6432" w:dyaOrig="816" w14:anchorId="68FFF2E0">
          <v:shape id="_x0000_i1030" type="#_x0000_t75" style="width:321.75pt;height:40.5pt" o:ole="">
            <v:imagedata r:id="rId32" o:title=""/>
          </v:shape>
          <o:OLEObject Type="Embed" ProgID="Package" ShapeID="_x0000_i1030" DrawAspect="Content" ObjectID="_1593353631" r:id="rId33"/>
        </w:object>
      </w:r>
      <w:r>
        <w:object w:dxaOrig="7284" w:dyaOrig="816" w14:anchorId="03038336">
          <v:shape id="_x0000_i1031" type="#_x0000_t75" style="width:364.5pt;height:40.5pt" o:ole="">
            <v:imagedata r:id="rId34" o:title=""/>
          </v:shape>
          <o:OLEObject Type="Embed" ProgID="Package" ShapeID="_x0000_i1031" DrawAspect="Content" ObjectID="_1593353632" r:id="rId35"/>
        </w:object>
      </w:r>
    </w:p>
    <w:sectPr w:rsidR="00D04CA3" w:rsidRPr="00390F23" w:rsidSect="002A5AEA">
      <w:headerReference w:type="even" r:id="rId36"/>
      <w:footerReference w:type="default" r:id="rId37"/>
      <w:pgSz w:w="12240" w:h="15840" w:code="1"/>
      <w:pgMar w:top="1440" w:right="1440" w:bottom="1440" w:left="1440" w:header="1181" w:footer="5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BDFCF" w14:textId="77777777" w:rsidR="001B0814" w:rsidRDefault="001B0814" w:rsidP="0053283D">
      <w:r>
        <w:separator/>
      </w:r>
    </w:p>
    <w:p w14:paraId="36E5EC74" w14:textId="77777777" w:rsidR="001B0814" w:rsidRDefault="001B0814"/>
  </w:endnote>
  <w:endnote w:type="continuationSeparator" w:id="0">
    <w:p w14:paraId="5FE5E787" w14:textId="77777777" w:rsidR="001B0814" w:rsidRDefault="001B0814" w:rsidP="0053283D">
      <w:r>
        <w:continuationSeparator/>
      </w:r>
    </w:p>
    <w:p w14:paraId="11F001FC" w14:textId="77777777" w:rsidR="001B0814" w:rsidRDefault="001B08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5729419"/>
      <w:docPartObj>
        <w:docPartGallery w:val="Page Numbers (Bottom of Page)"/>
        <w:docPartUnique/>
      </w:docPartObj>
    </w:sdtPr>
    <w:sdtEndPr>
      <w:rPr>
        <w:noProof/>
      </w:rPr>
    </w:sdtEndPr>
    <w:sdtContent>
      <w:p w14:paraId="5EDF419E" w14:textId="7471742C" w:rsidR="00F554CF" w:rsidRDefault="00F554CF">
        <w:pPr>
          <w:pStyle w:val="Footer"/>
          <w:jc w:val="center"/>
        </w:pPr>
        <w:r>
          <w:t xml:space="preserve">- </w:t>
        </w:r>
        <w:r>
          <w:fldChar w:fldCharType="begin"/>
        </w:r>
        <w:r>
          <w:instrText xml:space="preserve"> PAGE   \* MERGEFORMAT </w:instrText>
        </w:r>
        <w:r>
          <w:fldChar w:fldCharType="separate"/>
        </w:r>
        <w:r w:rsidR="00587A82">
          <w:rPr>
            <w:noProof/>
          </w:rPr>
          <w:t>7</w:t>
        </w:r>
        <w:r>
          <w:rPr>
            <w:noProof/>
          </w:rPr>
          <w:fldChar w:fldCharType="end"/>
        </w:r>
        <w:r>
          <w:rPr>
            <w:noProof/>
          </w:rPr>
          <w:t xml:space="preserve"> -</w:t>
        </w:r>
      </w:p>
    </w:sdtContent>
  </w:sdt>
  <w:p w14:paraId="07538C39" w14:textId="77777777" w:rsidR="00F554CF" w:rsidRDefault="00F554C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ED838E" w14:textId="77777777" w:rsidR="001B0814" w:rsidRDefault="001B0814" w:rsidP="0053283D"/>
    <w:p w14:paraId="26DC82DA" w14:textId="77777777" w:rsidR="001B0814" w:rsidRDefault="001B0814"/>
  </w:footnote>
  <w:footnote w:type="continuationSeparator" w:id="0">
    <w:p w14:paraId="08F313A3" w14:textId="77777777" w:rsidR="001B0814" w:rsidRDefault="001B0814" w:rsidP="0053283D">
      <w:r>
        <w:continuationSeparator/>
      </w:r>
    </w:p>
    <w:p w14:paraId="7044FCC0" w14:textId="77777777" w:rsidR="001B0814" w:rsidRDefault="001B0814"/>
  </w:footnote>
  <w:footnote w:id="1">
    <w:p w14:paraId="0F9DF4C9" w14:textId="02542A26" w:rsidR="00F554CF" w:rsidRDefault="00F554CF">
      <w:pPr>
        <w:pStyle w:val="FootnoteText"/>
      </w:pPr>
      <w:r>
        <w:rPr>
          <w:rStyle w:val="FootnoteReference"/>
        </w:rPr>
        <w:footnoteRef/>
      </w:r>
      <w:r>
        <w:t xml:space="preserve"> </w:t>
      </w:r>
      <w:proofErr w:type="spellStart"/>
      <w:r>
        <w:t>Titova</w:t>
      </w:r>
      <w:proofErr w:type="spellEnd"/>
      <w:r>
        <w:t xml:space="preserve">, S., </w:t>
      </w:r>
      <w:proofErr w:type="spellStart"/>
      <w:r>
        <w:t>Venkatesan</w:t>
      </w:r>
      <w:proofErr w:type="spellEnd"/>
      <w:r>
        <w:t>, S., Wholesale Line of Credit Utilization-Closure Model, Model Documentation, 7/14/2017</w:t>
      </w:r>
    </w:p>
  </w:footnote>
  <w:footnote w:id="2">
    <w:p w14:paraId="4A72D7DE" w14:textId="4E8FD331" w:rsidR="00F554CF" w:rsidRDefault="00F554CF">
      <w:pPr>
        <w:pStyle w:val="FootnoteText"/>
      </w:pPr>
      <w:r>
        <w:rPr>
          <w:rStyle w:val="FootnoteReference"/>
        </w:rPr>
        <w:footnoteRef/>
      </w:r>
      <w:r>
        <w:t xml:space="preserve"> Unlike utilization rate, closure rate is calcula</w:t>
      </w:r>
      <w:r w:rsidR="00390F23">
        <w:t xml:space="preserve">ted by looking at the </w:t>
      </w:r>
      <w:r>
        <w:t>commitment of portfolio in two consecutive months. If account has been removed in next month or commitment becomes zero, we are assuming the account has been closed.</w:t>
      </w:r>
    </w:p>
  </w:footnote>
  <w:footnote w:id="3">
    <w:p w14:paraId="78F0AE9C" w14:textId="44A37726" w:rsidR="00CB5350" w:rsidRDefault="00CB5350">
      <w:pPr>
        <w:pStyle w:val="FootnoteText"/>
      </w:pPr>
      <w:r>
        <w:rPr>
          <w:rStyle w:val="FootnoteReference"/>
        </w:rPr>
        <w:footnoteRef/>
      </w:r>
      <w:r>
        <w:t xml:space="preserve"> It should be noted that BBK Metro remains in Segment 6 (Retail).</w:t>
      </w:r>
    </w:p>
  </w:footnote>
  <w:footnote w:id="4">
    <w:p w14:paraId="22506587" w14:textId="19C4BDD2" w:rsidR="00F554CF" w:rsidRDefault="00F554CF">
      <w:pPr>
        <w:pStyle w:val="FootnoteText"/>
      </w:pPr>
      <w:r>
        <w:rPr>
          <w:rStyle w:val="FootnoteReference"/>
        </w:rPr>
        <w:footnoteRef/>
      </w:r>
      <w:r>
        <w:t xml:space="preserve"> Email from Svetlana </w:t>
      </w:r>
      <w:proofErr w:type="spellStart"/>
      <w:r>
        <w:t>Titova</w:t>
      </w:r>
      <w:proofErr w:type="spellEnd"/>
      <w:r>
        <w:t>, RE:SAG commitment and utilization rate for Segmentation 2, 5/1/2018</w:t>
      </w:r>
    </w:p>
  </w:footnote>
  <w:footnote w:id="5">
    <w:p w14:paraId="2558C715" w14:textId="2AC82C57" w:rsidR="00F554CF" w:rsidRDefault="00F554CF">
      <w:pPr>
        <w:pStyle w:val="FootnoteText"/>
      </w:pPr>
      <w:r>
        <w:rPr>
          <w:rStyle w:val="FootnoteReference"/>
        </w:rPr>
        <w:footnoteRef/>
      </w:r>
      <w:r>
        <w:t xml:space="preserve"> Email from Bill Sung, Utilization comparison among CML, BBK-Metro and BBK-Region, 6/14/2018</w:t>
      </w:r>
    </w:p>
  </w:footnote>
  <w:footnote w:id="6">
    <w:p w14:paraId="21FA47B6" w14:textId="56CEA0AE" w:rsidR="00F554CF" w:rsidRDefault="00F554CF">
      <w:pPr>
        <w:pStyle w:val="FootnoteText"/>
      </w:pPr>
      <w:r>
        <w:rPr>
          <w:rStyle w:val="FootnoteReference"/>
        </w:rPr>
        <w:footnoteRef/>
      </w:r>
      <w:r>
        <w:t xml:space="preserve"> Email from Shirley </w:t>
      </w:r>
      <w:proofErr w:type="spellStart"/>
      <w:r>
        <w:t>Xue</w:t>
      </w:r>
      <w:proofErr w:type="spellEnd"/>
      <w:r>
        <w:t>, RE: Utilization Model Refresh – Data Request, 7/3/2018</w:t>
      </w:r>
    </w:p>
  </w:footnote>
  <w:footnote w:id="7">
    <w:p w14:paraId="2F195AEE" w14:textId="7790CCB8" w:rsidR="00F554CF" w:rsidRDefault="00F554CF">
      <w:pPr>
        <w:pStyle w:val="FootnoteText"/>
      </w:pPr>
      <w:r>
        <w:rPr>
          <w:rStyle w:val="FootnoteReference"/>
        </w:rPr>
        <w:footnoteRef/>
      </w:r>
      <w:r>
        <w:t xml:space="preserve"> Values in the square bracket are the current balance as of May 2018.</w:t>
      </w:r>
    </w:p>
  </w:footnote>
  <w:footnote w:id="8">
    <w:p w14:paraId="1B53377C" w14:textId="23E45C4A" w:rsidR="00F554CF" w:rsidRDefault="00F554CF">
      <w:pPr>
        <w:pStyle w:val="FootnoteText"/>
      </w:pPr>
      <w:r>
        <w:rPr>
          <w:rStyle w:val="FootnoteReference"/>
        </w:rPr>
        <w:footnoteRef/>
      </w:r>
      <w:r>
        <w:t xml:space="preserve"> Model developer and users agreed to keep the non-retail / retail segmentation for closure rate model. However, we wanted to have more granular closure rates for different product types in non-retail.</w:t>
      </w:r>
    </w:p>
  </w:footnote>
  <w:footnote w:id="9">
    <w:p w14:paraId="09E6F657" w14:textId="0639F529" w:rsidR="00D146A9" w:rsidRDefault="00D146A9">
      <w:pPr>
        <w:pStyle w:val="FootnoteText"/>
      </w:pPr>
      <w:r>
        <w:rPr>
          <w:rStyle w:val="FootnoteReference"/>
        </w:rPr>
        <w:footnoteRef/>
      </w:r>
      <w:r>
        <w:t xml:space="preserve"> Current closure rate is aggregated by account id and utilization segmentation. Utilization segmentation is more granular than closure segmentation (non-retail vs. </w:t>
      </w:r>
      <w:r w:rsidR="00BE0F4D">
        <w:t>retail), so aggregation by utilization segmentation was sufficient.</w:t>
      </w:r>
      <w:r>
        <w:t xml:space="preserve"> However, the proposed closure segmentation by product type is more granular than segmentation used in utilization. For instance, utilization segment 2 (CIB) would have domestic, international, CRE product types. As such, we </w:t>
      </w:r>
      <w:r w:rsidR="00BE0F4D">
        <w:t xml:space="preserve">needed to </w:t>
      </w:r>
      <w:r>
        <w:t>aggregate by account id, utilization segmentation and product type.</w:t>
      </w:r>
    </w:p>
  </w:footnote>
  <w:footnote w:id="10">
    <w:p w14:paraId="436FB72D" w14:textId="52F0C310" w:rsidR="00F554CF" w:rsidRDefault="00F554CF">
      <w:pPr>
        <w:pStyle w:val="FootnoteText"/>
      </w:pPr>
      <w:r>
        <w:rPr>
          <w:rStyle w:val="FootnoteReference"/>
        </w:rPr>
        <w:footnoteRef/>
      </w:r>
      <w:r>
        <w:t xml:space="preserve"> The value next to each LOB is the total commitment.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89B3A" w14:textId="50F722DE" w:rsidR="00F554CF" w:rsidRDefault="00F554CF">
    <w:pPr>
      <w:pStyle w:val="Header"/>
    </w:pPr>
  </w:p>
  <w:p w14:paraId="398420E0" w14:textId="77777777" w:rsidR="00F554CF" w:rsidRDefault="00F554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D6019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BBADE7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98EA8E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95860CC"/>
    <w:lvl w:ilvl="0">
      <w:start w:val="1"/>
      <w:numFmt w:val="decimal"/>
      <w:pStyle w:val="ListNumber2"/>
      <w:lvlText w:val="%1."/>
      <w:lvlJc w:val="left"/>
      <w:pPr>
        <w:tabs>
          <w:tab w:val="num" w:pos="720"/>
        </w:tabs>
        <w:ind w:left="720" w:hanging="360"/>
      </w:pPr>
    </w:lvl>
  </w:abstractNum>
  <w:abstractNum w:abstractNumId="4">
    <w:nsid w:val="FFFFFF88"/>
    <w:multiLevelType w:val="singleLevel"/>
    <w:tmpl w:val="BE3CAC02"/>
    <w:lvl w:ilvl="0">
      <w:start w:val="1"/>
      <w:numFmt w:val="decimal"/>
      <w:pStyle w:val="ListNumber"/>
      <w:lvlText w:val="%1."/>
      <w:lvlJc w:val="left"/>
      <w:pPr>
        <w:tabs>
          <w:tab w:val="num" w:pos="360"/>
        </w:tabs>
        <w:ind w:left="360" w:hanging="360"/>
      </w:pPr>
    </w:lvl>
  </w:abstractNum>
  <w:abstractNum w:abstractNumId="5">
    <w:nsid w:val="03DB1721"/>
    <w:multiLevelType w:val="hybridMultilevel"/>
    <w:tmpl w:val="25D4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B83441"/>
    <w:multiLevelType w:val="hybridMultilevel"/>
    <w:tmpl w:val="B0B6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5C5E62"/>
    <w:multiLevelType w:val="hybridMultilevel"/>
    <w:tmpl w:val="620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8451BC"/>
    <w:multiLevelType w:val="hybridMultilevel"/>
    <w:tmpl w:val="B270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065F85"/>
    <w:multiLevelType w:val="multilevel"/>
    <w:tmpl w:val="A7EE0A02"/>
    <w:lvl w:ilvl="0">
      <w:start w:val="1"/>
      <w:numFmt w:val="decimal"/>
      <w:pStyle w:val="Heading1"/>
      <w:lvlText w:val="%1"/>
      <w:lvlJc w:val="left"/>
      <w:pPr>
        <w:tabs>
          <w:tab w:val="num" w:pos="1152"/>
        </w:tabs>
        <w:ind w:left="1152" w:hanging="43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666"/>
        </w:tabs>
        <w:ind w:left="66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13D200FE"/>
    <w:multiLevelType w:val="hybridMultilevel"/>
    <w:tmpl w:val="586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FE4566"/>
    <w:multiLevelType w:val="hybridMultilevel"/>
    <w:tmpl w:val="56A8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3547B8"/>
    <w:multiLevelType w:val="multilevel"/>
    <w:tmpl w:val="4BB84FD4"/>
    <w:styleLink w:val="RDListBullets"/>
    <w:lvl w:ilvl="0">
      <w:start w:val="1"/>
      <w:numFmt w:val="bullet"/>
      <w:pStyle w:val="ListBullet"/>
      <w:lvlText w:val="●"/>
      <w:lvlJc w:val="left"/>
      <w:pPr>
        <w:ind w:left="5670" w:hanging="360"/>
      </w:pPr>
      <w:rPr>
        <w:rFonts w:ascii="Times New Roman" w:hAnsi="Times New Roman" w:cs="Times New Roman" w:hint="default"/>
        <w:color w:val="auto"/>
      </w:rPr>
    </w:lvl>
    <w:lvl w:ilvl="1">
      <w:start w:val="1"/>
      <w:numFmt w:val="bullet"/>
      <w:pStyle w:val="ListBullet2"/>
      <w:lvlText w:val="○"/>
      <w:lvlJc w:val="left"/>
      <w:pPr>
        <w:ind w:left="1080" w:hanging="360"/>
      </w:pPr>
      <w:rPr>
        <w:rFonts w:ascii="Times New Roman" w:hAnsi="Times New Roman" w:cs="Times New Roman" w:hint="default"/>
        <w:color w:val="auto"/>
      </w:rPr>
    </w:lvl>
    <w:lvl w:ilvl="2">
      <w:start w:val="1"/>
      <w:numFmt w:val="bullet"/>
      <w:pStyle w:val="ListBullet3"/>
      <w:lvlText w:val="–"/>
      <w:lvlJc w:val="left"/>
      <w:pPr>
        <w:ind w:left="1440" w:hanging="360"/>
      </w:pPr>
      <w:rPr>
        <w:rFonts w:ascii="Times New Roman" w:hAnsi="Times New Roman" w:cs="Times New Roman" w:hint="default"/>
        <w:color w:val="auto"/>
      </w:rPr>
    </w:lvl>
    <w:lvl w:ilvl="3">
      <w:start w:val="1"/>
      <w:numFmt w:val="bullet"/>
      <w:pStyle w:val="ListBullet4"/>
      <w:lvlText w:val="▪"/>
      <w:lvlJc w:val="left"/>
      <w:pPr>
        <w:tabs>
          <w:tab w:val="num" w:pos="1512"/>
        </w:tabs>
        <w:ind w:left="1800" w:hanging="360"/>
      </w:pPr>
      <w:rPr>
        <w:rFonts w:ascii="Times New Roman" w:hAnsi="Times New Roman" w:cs="Times New Roman" w:hint="default"/>
        <w:color w:val="auto"/>
      </w:rPr>
    </w:lvl>
    <w:lvl w:ilvl="4">
      <w:start w:val="1"/>
      <w:numFmt w:val="bullet"/>
      <w:pStyle w:val="ListBullet5"/>
      <w:lvlText w:val="▫"/>
      <w:lvlJc w:val="left"/>
      <w:pPr>
        <w:ind w:left="2160" w:hanging="360"/>
      </w:pPr>
      <w:rPr>
        <w:rFonts w:ascii="Times New Roman" w:hAnsi="Times New Roman" w:cs="Times New Roman" w:hint="default"/>
        <w:color w:val="auto"/>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3">
    <w:nsid w:val="2AA53A5C"/>
    <w:multiLevelType w:val="hybridMultilevel"/>
    <w:tmpl w:val="24FE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A766A9"/>
    <w:multiLevelType w:val="hybridMultilevel"/>
    <w:tmpl w:val="788E6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456305"/>
    <w:multiLevelType w:val="multilevel"/>
    <w:tmpl w:val="191821AA"/>
    <w:lvl w:ilvl="0">
      <w:start w:val="1"/>
      <w:numFmt w:val="upperLetter"/>
      <w:pStyle w:val="Appendix"/>
      <w:lvlText w:val="%1."/>
      <w:lvlJc w:val="left"/>
      <w:pPr>
        <w:tabs>
          <w:tab w:val="num" w:pos="360"/>
        </w:tabs>
        <w:ind w:left="360" w:hanging="360"/>
      </w:pPr>
      <w:rPr>
        <w:rFonts w:hint="default"/>
      </w:rPr>
    </w:lvl>
    <w:lvl w:ilvl="1">
      <w:start w:val="1"/>
      <w:numFmt w:val="decimal"/>
      <w:lvlText w:val="%1.%2"/>
      <w:lvlJc w:val="left"/>
      <w:pPr>
        <w:tabs>
          <w:tab w:val="num" w:pos="1440"/>
        </w:tabs>
        <w:ind w:left="1440" w:hanging="86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CEC585E"/>
    <w:multiLevelType w:val="hybridMultilevel"/>
    <w:tmpl w:val="C640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2E2699"/>
    <w:multiLevelType w:val="hybridMultilevel"/>
    <w:tmpl w:val="3364F300"/>
    <w:lvl w:ilvl="0" w:tplc="E648DF3A">
      <w:start w:val="2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DE42D9"/>
    <w:multiLevelType w:val="hybridMultilevel"/>
    <w:tmpl w:val="847AA0F0"/>
    <w:lvl w:ilvl="0" w:tplc="9774B5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2D656F"/>
    <w:multiLevelType w:val="multilevel"/>
    <w:tmpl w:val="5AFE32D0"/>
    <w:lvl w:ilvl="0">
      <w:start w:val="1"/>
      <w:numFmt w:val="decimal"/>
      <w:pStyle w:val="List1"/>
      <w:lvlText w:val="%1."/>
      <w:lvlJc w:val="left"/>
      <w:pPr>
        <w:ind w:left="720" w:hanging="360"/>
      </w:pPr>
      <w:rPr>
        <w:rFonts w:ascii="Times New Roman" w:hAnsi="Times New Roman" w:hint="default"/>
        <w:sz w:val="22"/>
      </w:rPr>
    </w:lvl>
    <w:lvl w:ilvl="1">
      <w:start w:val="1"/>
      <w:numFmt w:val="lowerLetter"/>
      <w:pStyle w:val="List2"/>
      <w:lvlText w:val="%2."/>
      <w:lvlJc w:val="left"/>
      <w:pPr>
        <w:ind w:left="1080" w:hanging="360"/>
      </w:pPr>
      <w:rPr>
        <w:rFonts w:ascii="Times New Roman" w:hAnsi="Times New Roman" w:hint="default"/>
        <w:sz w:val="22"/>
      </w:rPr>
    </w:lvl>
    <w:lvl w:ilvl="2">
      <w:start w:val="1"/>
      <w:numFmt w:val="lowerRoman"/>
      <w:pStyle w:val="List3"/>
      <w:lvlText w:val="%3."/>
      <w:lvlJc w:val="left"/>
      <w:pPr>
        <w:ind w:left="1440" w:hanging="360"/>
      </w:pPr>
      <w:rPr>
        <w:rFonts w:ascii="Times New Roman" w:hAnsi="Times New Roman" w:hint="default"/>
        <w:sz w:val="22"/>
      </w:rPr>
    </w:lvl>
    <w:lvl w:ilvl="3">
      <w:start w:val="1"/>
      <w:numFmt w:val="decimal"/>
      <w:pStyle w:val="List4"/>
      <w:lvlText w:val="(%4)"/>
      <w:lvlJc w:val="left"/>
      <w:pPr>
        <w:ind w:left="1800" w:hanging="360"/>
      </w:pPr>
      <w:rPr>
        <w:rFonts w:ascii="Times New Roman" w:hAnsi="Times New Roman" w:hint="default"/>
        <w:sz w:val="20"/>
      </w:rPr>
    </w:lvl>
    <w:lvl w:ilvl="4">
      <w:start w:val="1"/>
      <w:numFmt w:val="lowerLetter"/>
      <w:pStyle w:val="List5"/>
      <w:lvlText w:val="(%5)"/>
      <w:lvlJc w:val="left"/>
      <w:pPr>
        <w:ind w:left="2160" w:hanging="360"/>
      </w:pPr>
      <w:rPr>
        <w:rFonts w:ascii="Times New Roman" w:hAnsi="Times New Roman" w:hint="default"/>
        <w:sz w:val="20"/>
      </w:rPr>
    </w:lvl>
    <w:lvl w:ilvl="5">
      <w:start w:val="1"/>
      <w:numFmt w:val="lowerRoman"/>
      <w:lvlText w:val="(%6)"/>
      <w:lvlJc w:val="left"/>
      <w:pPr>
        <w:ind w:left="2520" w:hanging="360"/>
      </w:pPr>
      <w:rPr>
        <w:rFonts w:ascii="Times New Roman" w:hAnsi="Times New Roman" w:hint="default"/>
        <w:sz w:val="20"/>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nsid w:val="605C052B"/>
    <w:multiLevelType w:val="hybridMultilevel"/>
    <w:tmpl w:val="D13E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681269"/>
    <w:multiLevelType w:val="multilevel"/>
    <w:tmpl w:val="4AD8A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1AB39B2"/>
    <w:multiLevelType w:val="hybridMultilevel"/>
    <w:tmpl w:val="5C28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272D30"/>
    <w:multiLevelType w:val="hybridMultilevel"/>
    <w:tmpl w:val="94CC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831FCA"/>
    <w:multiLevelType w:val="hybridMultilevel"/>
    <w:tmpl w:val="9DAC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9A11CC"/>
    <w:multiLevelType w:val="multilevel"/>
    <w:tmpl w:val="D034F5AA"/>
    <w:styleLink w:val="LL-Num"/>
    <w:lvl w:ilvl="0">
      <w:start w:val="1"/>
      <w:numFmt w:val="decimal"/>
      <w:lvlText w:val="%1)"/>
      <w:lvlJc w:val="left"/>
      <w:pPr>
        <w:ind w:left="720" w:hanging="360"/>
      </w:pPr>
      <w:rPr>
        <w:rFonts w:ascii="Times New Roman" w:hAnsi="Times New Roman" w:hint="default"/>
        <w:sz w:val="22"/>
      </w:rPr>
    </w:lvl>
    <w:lvl w:ilvl="1">
      <w:start w:val="1"/>
      <w:numFmt w:val="lowerLetter"/>
      <w:lvlText w:val="%2)"/>
      <w:lvlJc w:val="left"/>
      <w:pPr>
        <w:ind w:left="1080" w:hanging="360"/>
      </w:pPr>
      <w:rPr>
        <w:rFonts w:ascii="Times New Roman" w:hAnsi="Times New Roman" w:hint="default"/>
        <w:sz w:val="22"/>
      </w:rPr>
    </w:lvl>
    <w:lvl w:ilvl="2">
      <w:start w:val="1"/>
      <w:numFmt w:val="lowerRoman"/>
      <w:lvlText w:val="%3)"/>
      <w:lvlJc w:val="left"/>
      <w:pPr>
        <w:ind w:left="1440" w:hanging="360"/>
      </w:pPr>
      <w:rPr>
        <w:rFonts w:ascii="Times New Roman" w:hAnsi="Times New Roman" w:hint="default"/>
        <w:sz w:val="22"/>
      </w:rPr>
    </w:lvl>
    <w:lvl w:ilvl="3">
      <w:start w:val="1"/>
      <w:numFmt w:val="decimal"/>
      <w:lvlText w:val="(%4)"/>
      <w:lvlJc w:val="left"/>
      <w:pPr>
        <w:ind w:left="1800" w:hanging="360"/>
      </w:pPr>
      <w:rPr>
        <w:rFonts w:ascii="Times New Roman" w:hAnsi="Times New Roman" w:hint="default"/>
        <w:sz w:val="20"/>
      </w:rPr>
    </w:lvl>
    <w:lvl w:ilvl="4">
      <w:start w:val="1"/>
      <w:numFmt w:val="lowerLetter"/>
      <w:lvlText w:val="(%5)"/>
      <w:lvlJc w:val="left"/>
      <w:pPr>
        <w:ind w:left="2160" w:hanging="360"/>
      </w:pPr>
      <w:rPr>
        <w:rFonts w:ascii="Times New Roman" w:hAnsi="Times New Roman" w:hint="default"/>
        <w:sz w:val="20"/>
      </w:rPr>
    </w:lvl>
    <w:lvl w:ilvl="5">
      <w:start w:val="1"/>
      <w:numFmt w:val="lowerRoman"/>
      <w:lvlText w:val="(%6)"/>
      <w:lvlJc w:val="left"/>
      <w:pPr>
        <w:ind w:left="2520" w:hanging="360"/>
      </w:pPr>
      <w:rPr>
        <w:rFonts w:ascii="Times New Roman" w:hAnsi="Times New Roman" w:hint="default"/>
        <w:sz w:val="20"/>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
    <w:nsid w:val="7248135B"/>
    <w:multiLevelType w:val="hybridMultilevel"/>
    <w:tmpl w:val="6F44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1F7CD5"/>
    <w:multiLevelType w:val="multilevel"/>
    <w:tmpl w:val="0409001D"/>
    <w:styleLink w:val="BulletStyle"/>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A444697"/>
    <w:multiLevelType w:val="hybridMultilevel"/>
    <w:tmpl w:val="99CC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15"/>
  </w:num>
  <w:num w:numId="8">
    <w:abstractNumId w:val="27"/>
  </w:num>
  <w:num w:numId="9">
    <w:abstractNumId w:val="9"/>
  </w:num>
  <w:num w:numId="10">
    <w:abstractNumId w:val="19"/>
  </w:num>
  <w:num w:numId="11">
    <w:abstractNumId w:val="25"/>
  </w:num>
  <w:num w:numId="12">
    <w:abstractNumId w:val="12"/>
  </w:num>
  <w:num w:numId="13">
    <w:abstractNumId w:val="13"/>
  </w:num>
  <w:num w:numId="14">
    <w:abstractNumId w:val="28"/>
  </w:num>
  <w:num w:numId="15">
    <w:abstractNumId w:val="11"/>
  </w:num>
  <w:num w:numId="16">
    <w:abstractNumId w:val="8"/>
  </w:num>
  <w:num w:numId="17">
    <w:abstractNumId w:val="24"/>
  </w:num>
  <w:num w:numId="18">
    <w:abstractNumId w:val="26"/>
  </w:num>
  <w:num w:numId="19">
    <w:abstractNumId w:val="20"/>
  </w:num>
  <w:num w:numId="20">
    <w:abstractNumId w:val="6"/>
  </w:num>
  <w:num w:numId="21">
    <w:abstractNumId w:val="16"/>
  </w:num>
  <w:num w:numId="22">
    <w:abstractNumId w:val="22"/>
  </w:num>
  <w:num w:numId="23">
    <w:abstractNumId w:val="14"/>
  </w:num>
  <w:num w:numId="24">
    <w:abstractNumId w:val="10"/>
  </w:num>
  <w:num w:numId="25">
    <w:abstractNumId w:val="7"/>
  </w:num>
  <w:num w:numId="26">
    <w:abstractNumId w:val="23"/>
  </w:num>
  <w:num w:numId="27">
    <w:abstractNumId w:val="5"/>
  </w:num>
  <w:num w:numId="28">
    <w:abstractNumId w:val="18"/>
  </w:num>
  <w:num w:numId="29">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cba93fa0-0a61-437e-89a7-a9dc1c3c4704"/>
    <w:docVar w:name="DocIDStyle" w:val="blank"/>
    <w:docVar w:name="INISection" w:val="Proposal"/>
    <w:docVar w:name="Language" w:val="English (U.K.)"/>
    <w:docVar w:name="sScope" w:val="4"/>
  </w:docVars>
  <w:rsids>
    <w:rsidRoot w:val="00110B7F"/>
    <w:rsid w:val="000005F1"/>
    <w:rsid w:val="0000132E"/>
    <w:rsid w:val="000029AA"/>
    <w:rsid w:val="00004572"/>
    <w:rsid w:val="00005162"/>
    <w:rsid w:val="0000627E"/>
    <w:rsid w:val="00006ABE"/>
    <w:rsid w:val="00006C71"/>
    <w:rsid w:val="000113C7"/>
    <w:rsid w:val="00011D0A"/>
    <w:rsid w:val="00012809"/>
    <w:rsid w:val="00013CAD"/>
    <w:rsid w:val="00014B7F"/>
    <w:rsid w:val="0001781D"/>
    <w:rsid w:val="00017892"/>
    <w:rsid w:val="00021E0E"/>
    <w:rsid w:val="00021E12"/>
    <w:rsid w:val="000232D3"/>
    <w:rsid w:val="00025A76"/>
    <w:rsid w:val="000315E5"/>
    <w:rsid w:val="00032E91"/>
    <w:rsid w:val="00033EB2"/>
    <w:rsid w:val="000355DB"/>
    <w:rsid w:val="000366E2"/>
    <w:rsid w:val="000374A9"/>
    <w:rsid w:val="00040768"/>
    <w:rsid w:val="0004246D"/>
    <w:rsid w:val="0004390D"/>
    <w:rsid w:val="0005285E"/>
    <w:rsid w:val="000532FB"/>
    <w:rsid w:val="00053612"/>
    <w:rsid w:val="0005367C"/>
    <w:rsid w:val="000543A4"/>
    <w:rsid w:val="000609B6"/>
    <w:rsid w:val="000613F6"/>
    <w:rsid w:val="00062735"/>
    <w:rsid w:val="0006287B"/>
    <w:rsid w:val="00063A60"/>
    <w:rsid w:val="00067C50"/>
    <w:rsid w:val="000704CB"/>
    <w:rsid w:val="000704F2"/>
    <w:rsid w:val="00073BFA"/>
    <w:rsid w:val="00074338"/>
    <w:rsid w:val="000760F2"/>
    <w:rsid w:val="00077EEE"/>
    <w:rsid w:val="00085187"/>
    <w:rsid w:val="00085B98"/>
    <w:rsid w:val="00087195"/>
    <w:rsid w:val="000876FE"/>
    <w:rsid w:val="00087EFF"/>
    <w:rsid w:val="00090B9E"/>
    <w:rsid w:val="00092943"/>
    <w:rsid w:val="00092DEE"/>
    <w:rsid w:val="00095AC8"/>
    <w:rsid w:val="00096964"/>
    <w:rsid w:val="000976EC"/>
    <w:rsid w:val="000A0F08"/>
    <w:rsid w:val="000A162A"/>
    <w:rsid w:val="000A426C"/>
    <w:rsid w:val="000A6521"/>
    <w:rsid w:val="000A6A04"/>
    <w:rsid w:val="000B0AC5"/>
    <w:rsid w:val="000B0CF2"/>
    <w:rsid w:val="000B22C6"/>
    <w:rsid w:val="000B46FF"/>
    <w:rsid w:val="000B4C1F"/>
    <w:rsid w:val="000B6D32"/>
    <w:rsid w:val="000C0B56"/>
    <w:rsid w:val="000C0BB9"/>
    <w:rsid w:val="000C3F1B"/>
    <w:rsid w:val="000D3804"/>
    <w:rsid w:val="000D47CB"/>
    <w:rsid w:val="000D4920"/>
    <w:rsid w:val="000D4976"/>
    <w:rsid w:val="000D584E"/>
    <w:rsid w:val="000D6E45"/>
    <w:rsid w:val="000D73D3"/>
    <w:rsid w:val="000E0189"/>
    <w:rsid w:val="000E2663"/>
    <w:rsid w:val="000E3EBF"/>
    <w:rsid w:val="000E4719"/>
    <w:rsid w:val="000E4F46"/>
    <w:rsid w:val="000E5AE3"/>
    <w:rsid w:val="000E5BC5"/>
    <w:rsid w:val="000E729F"/>
    <w:rsid w:val="000F1A78"/>
    <w:rsid w:val="000F510D"/>
    <w:rsid w:val="000F65A5"/>
    <w:rsid w:val="00100002"/>
    <w:rsid w:val="00100BB6"/>
    <w:rsid w:val="0010485B"/>
    <w:rsid w:val="00105546"/>
    <w:rsid w:val="00107FCC"/>
    <w:rsid w:val="00110B7F"/>
    <w:rsid w:val="00112168"/>
    <w:rsid w:val="001151CE"/>
    <w:rsid w:val="00120972"/>
    <w:rsid w:val="00122DA2"/>
    <w:rsid w:val="00124783"/>
    <w:rsid w:val="00125AD4"/>
    <w:rsid w:val="00131C6A"/>
    <w:rsid w:val="00132862"/>
    <w:rsid w:val="00134777"/>
    <w:rsid w:val="001403FE"/>
    <w:rsid w:val="001438AD"/>
    <w:rsid w:val="001438F5"/>
    <w:rsid w:val="00143AAC"/>
    <w:rsid w:val="00144A44"/>
    <w:rsid w:val="0014534F"/>
    <w:rsid w:val="00146E70"/>
    <w:rsid w:val="00147D5D"/>
    <w:rsid w:val="0015010A"/>
    <w:rsid w:val="00150F43"/>
    <w:rsid w:val="00152315"/>
    <w:rsid w:val="0015322C"/>
    <w:rsid w:val="001532A1"/>
    <w:rsid w:val="001539C8"/>
    <w:rsid w:val="00154636"/>
    <w:rsid w:val="00154C11"/>
    <w:rsid w:val="00157F9B"/>
    <w:rsid w:val="00160E2C"/>
    <w:rsid w:val="0016250A"/>
    <w:rsid w:val="00163A06"/>
    <w:rsid w:val="00163F44"/>
    <w:rsid w:val="0016441F"/>
    <w:rsid w:val="00165AD6"/>
    <w:rsid w:val="00165EE3"/>
    <w:rsid w:val="00166495"/>
    <w:rsid w:val="001671C8"/>
    <w:rsid w:val="001704A6"/>
    <w:rsid w:val="00170E9F"/>
    <w:rsid w:val="0017148D"/>
    <w:rsid w:val="00172347"/>
    <w:rsid w:val="001729A7"/>
    <w:rsid w:val="001736F9"/>
    <w:rsid w:val="00176BBB"/>
    <w:rsid w:val="0018149F"/>
    <w:rsid w:val="0018234B"/>
    <w:rsid w:val="001825E6"/>
    <w:rsid w:val="0018285D"/>
    <w:rsid w:val="00182AA3"/>
    <w:rsid w:val="00182D0F"/>
    <w:rsid w:val="0018305B"/>
    <w:rsid w:val="0018503F"/>
    <w:rsid w:val="0018653A"/>
    <w:rsid w:val="001942AD"/>
    <w:rsid w:val="00195370"/>
    <w:rsid w:val="0019565E"/>
    <w:rsid w:val="001968C0"/>
    <w:rsid w:val="001A30CE"/>
    <w:rsid w:val="001A42B0"/>
    <w:rsid w:val="001B00DA"/>
    <w:rsid w:val="001B01DD"/>
    <w:rsid w:val="001B0814"/>
    <w:rsid w:val="001B0928"/>
    <w:rsid w:val="001B12CD"/>
    <w:rsid w:val="001B18C9"/>
    <w:rsid w:val="001B274B"/>
    <w:rsid w:val="001B4FC2"/>
    <w:rsid w:val="001C38F0"/>
    <w:rsid w:val="001C6B05"/>
    <w:rsid w:val="001D095D"/>
    <w:rsid w:val="001D09C3"/>
    <w:rsid w:val="001D46F3"/>
    <w:rsid w:val="001D4BA3"/>
    <w:rsid w:val="001D588A"/>
    <w:rsid w:val="001D5C93"/>
    <w:rsid w:val="001D5D14"/>
    <w:rsid w:val="001D62E6"/>
    <w:rsid w:val="001D7348"/>
    <w:rsid w:val="001D74A6"/>
    <w:rsid w:val="001D7571"/>
    <w:rsid w:val="001D7898"/>
    <w:rsid w:val="001E1DFE"/>
    <w:rsid w:val="001E2ACE"/>
    <w:rsid w:val="001E382C"/>
    <w:rsid w:val="001E6352"/>
    <w:rsid w:val="001E6599"/>
    <w:rsid w:val="001E66A3"/>
    <w:rsid w:val="001F08C7"/>
    <w:rsid w:val="001F18F5"/>
    <w:rsid w:val="001F357A"/>
    <w:rsid w:val="001F4C5D"/>
    <w:rsid w:val="001F4E3D"/>
    <w:rsid w:val="001F4FAC"/>
    <w:rsid w:val="001F7C18"/>
    <w:rsid w:val="00201B5D"/>
    <w:rsid w:val="00202283"/>
    <w:rsid w:val="00202C2C"/>
    <w:rsid w:val="00204300"/>
    <w:rsid w:val="00207DF0"/>
    <w:rsid w:val="00210F23"/>
    <w:rsid w:val="00212565"/>
    <w:rsid w:val="00212833"/>
    <w:rsid w:val="002142DC"/>
    <w:rsid w:val="00214AFD"/>
    <w:rsid w:val="0021578C"/>
    <w:rsid w:val="00217F2F"/>
    <w:rsid w:val="002203F8"/>
    <w:rsid w:val="00220948"/>
    <w:rsid w:val="002245A3"/>
    <w:rsid w:val="00224CCE"/>
    <w:rsid w:val="00225155"/>
    <w:rsid w:val="00225230"/>
    <w:rsid w:val="00225AFE"/>
    <w:rsid w:val="002267BE"/>
    <w:rsid w:val="00226C0B"/>
    <w:rsid w:val="00233D83"/>
    <w:rsid w:val="00235DFD"/>
    <w:rsid w:val="002374DE"/>
    <w:rsid w:val="002431AC"/>
    <w:rsid w:val="00243999"/>
    <w:rsid w:val="00243E53"/>
    <w:rsid w:val="00244F39"/>
    <w:rsid w:val="002466DA"/>
    <w:rsid w:val="00247D00"/>
    <w:rsid w:val="002500DD"/>
    <w:rsid w:val="0025192C"/>
    <w:rsid w:val="00252AB5"/>
    <w:rsid w:val="002575A5"/>
    <w:rsid w:val="00262EEC"/>
    <w:rsid w:val="0026368B"/>
    <w:rsid w:val="00263C71"/>
    <w:rsid w:val="00270E6D"/>
    <w:rsid w:val="00271590"/>
    <w:rsid w:val="0027438A"/>
    <w:rsid w:val="00274478"/>
    <w:rsid w:val="002748DB"/>
    <w:rsid w:val="00274928"/>
    <w:rsid w:val="00276624"/>
    <w:rsid w:val="002772BC"/>
    <w:rsid w:val="00280CD3"/>
    <w:rsid w:val="00283CB6"/>
    <w:rsid w:val="00287063"/>
    <w:rsid w:val="00287120"/>
    <w:rsid w:val="00290CB2"/>
    <w:rsid w:val="0029128B"/>
    <w:rsid w:val="002912B4"/>
    <w:rsid w:val="00295798"/>
    <w:rsid w:val="00296A70"/>
    <w:rsid w:val="00297C22"/>
    <w:rsid w:val="00297C7A"/>
    <w:rsid w:val="002A0D1A"/>
    <w:rsid w:val="002A1B67"/>
    <w:rsid w:val="002A3288"/>
    <w:rsid w:val="002A5AEA"/>
    <w:rsid w:val="002A5D24"/>
    <w:rsid w:val="002A6214"/>
    <w:rsid w:val="002B1EAB"/>
    <w:rsid w:val="002B538B"/>
    <w:rsid w:val="002C09BD"/>
    <w:rsid w:val="002C2F13"/>
    <w:rsid w:val="002C31D9"/>
    <w:rsid w:val="002C3B05"/>
    <w:rsid w:val="002C430C"/>
    <w:rsid w:val="002C570E"/>
    <w:rsid w:val="002C6023"/>
    <w:rsid w:val="002C7EBE"/>
    <w:rsid w:val="002D037E"/>
    <w:rsid w:val="002D234E"/>
    <w:rsid w:val="002D4FA2"/>
    <w:rsid w:val="002D51A7"/>
    <w:rsid w:val="002D77B5"/>
    <w:rsid w:val="002D7CEC"/>
    <w:rsid w:val="002E0DF9"/>
    <w:rsid w:val="002E1065"/>
    <w:rsid w:val="002E130A"/>
    <w:rsid w:val="002E3232"/>
    <w:rsid w:val="002E36DA"/>
    <w:rsid w:val="002E3A1E"/>
    <w:rsid w:val="002E4BFC"/>
    <w:rsid w:val="002E557E"/>
    <w:rsid w:val="002E598A"/>
    <w:rsid w:val="002E68BD"/>
    <w:rsid w:val="002E6C8B"/>
    <w:rsid w:val="002E7B58"/>
    <w:rsid w:val="002F0651"/>
    <w:rsid w:val="002F1D46"/>
    <w:rsid w:val="002F3AF3"/>
    <w:rsid w:val="002F5916"/>
    <w:rsid w:val="00300194"/>
    <w:rsid w:val="003009F5"/>
    <w:rsid w:val="00302E9C"/>
    <w:rsid w:val="003032F1"/>
    <w:rsid w:val="00307FE7"/>
    <w:rsid w:val="00311355"/>
    <w:rsid w:val="003114BB"/>
    <w:rsid w:val="0031492F"/>
    <w:rsid w:val="00315816"/>
    <w:rsid w:val="003161CB"/>
    <w:rsid w:val="0031776B"/>
    <w:rsid w:val="003210C3"/>
    <w:rsid w:val="003231AD"/>
    <w:rsid w:val="003238CA"/>
    <w:rsid w:val="0032683C"/>
    <w:rsid w:val="00327879"/>
    <w:rsid w:val="00327D4A"/>
    <w:rsid w:val="00330BBF"/>
    <w:rsid w:val="00330CC9"/>
    <w:rsid w:val="00330D32"/>
    <w:rsid w:val="00331052"/>
    <w:rsid w:val="003314BF"/>
    <w:rsid w:val="003342A6"/>
    <w:rsid w:val="00335CF0"/>
    <w:rsid w:val="0033691C"/>
    <w:rsid w:val="00340AFC"/>
    <w:rsid w:val="00340EB6"/>
    <w:rsid w:val="0034137C"/>
    <w:rsid w:val="00342082"/>
    <w:rsid w:val="003431EE"/>
    <w:rsid w:val="00343799"/>
    <w:rsid w:val="003447DA"/>
    <w:rsid w:val="00345EC3"/>
    <w:rsid w:val="00345F01"/>
    <w:rsid w:val="00350679"/>
    <w:rsid w:val="00356A0B"/>
    <w:rsid w:val="00357D2C"/>
    <w:rsid w:val="0036014A"/>
    <w:rsid w:val="003614A5"/>
    <w:rsid w:val="00361976"/>
    <w:rsid w:val="00364FEE"/>
    <w:rsid w:val="00365BFE"/>
    <w:rsid w:val="00367B34"/>
    <w:rsid w:val="00370300"/>
    <w:rsid w:val="00370E75"/>
    <w:rsid w:val="00372879"/>
    <w:rsid w:val="00372AE9"/>
    <w:rsid w:val="00372BDA"/>
    <w:rsid w:val="003737D0"/>
    <w:rsid w:val="00377349"/>
    <w:rsid w:val="00377E12"/>
    <w:rsid w:val="0038015D"/>
    <w:rsid w:val="00381022"/>
    <w:rsid w:val="00381B4F"/>
    <w:rsid w:val="00381EBA"/>
    <w:rsid w:val="0038459D"/>
    <w:rsid w:val="0038468C"/>
    <w:rsid w:val="00384A22"/>
    <w:rsid w:val="00384FCB"/>
    <w:rsid w:val="0038697A"/>
    <w:rsid w:val="00387BE2"/>
    <w:rsid w:val="00390F23"/>
    <w:rsid w:val="00391F7A"/>
    <w:rsid w:val="00392442"/>
    <w:rsid w:val="003952A6"/>
    <w:rsid w:val="00395912"/>
    <w:rsid w:val="00396083"/>
    <w:rsid w:val="003971B9"/>
    <w:rsid w:val="003A0075"/>
    <w:rsid w:val="003A09F0"/>
    <w:rsid w:val="003A19E0"/>
    <w:rsid w:val="003A2C12"/>
    <w:rsid w:val="003A4EAA"/>
    <w:rsid w:val="003A55AC"/>
    <w:rsid w:val="003A69BB"/>
    <w:rsid w:val="003A711A"/>
    <w:rsid w:val="003B06DC"/>
    <w:rsid w:val="003B0CF9"/>
    <w:rsid w:val="003B0F09"/>
    <w:rsid w:val="003B10EF"/>
    <w:rsid w:val="003C49F2"/>
    <w:rsid w:val="003C50BF"/>
    <w:rsid w:val="003C6B41"/>
    <w:rsid w:val="003D179C"/>
    <w:rsid w:val="003D4B40"/>
    <w:rsid w:val="003D564A"/>
    <w:rsid w:val="003D7C27"/>
    <w:rsid w:val="003D7D8A"/>
    <w:rsid w:val="003E0601"/>
    <w:rsid w:val="003E136E"/>
    <w:rsid w:val="003E1861"/>
    <w:rsid w:val="003E2608"/>
    <w:rsid w:val="003E348E"/>
    <w:rsid w:val="003E4C73"/>
    <w:rsid w:val="003E4D72"/>
    <w:rsid w:val="003E54EB"/>
    <w:rsid w:val="003E63C9"/>
    <w:rsid w:val="003F0BD1"/>
    <w:rsid w:val="003F2199"/>
    <w:rsid w:val="003F4C5F"/>
    <w:rsid w:val="003F5678"/>
    <w:rsid w:val="003F6505"/>
    <w:rsid w:val="00400585"/>
    <w:rsid w:val="00401487"/>
    <w:rsid w:val="00402233"/>
    <w:rsid w:val="00402FCA"/>
    <w:rsid w:val="004045C6"/>
    <w:rsid w:val="00405B4C"/>
    <w:rsid w:val="0040613F"/>
    <w:rsid w:val="0041114F"/>
    <w:rsid w:val="00411A38"/>
    <w:rsid w:val="004134CA"/>
    <w:rsid w:val="00413C90"/>
    <w:rsid w:val="004156D7"/>
    <w:rsid w:val="00415B9E"/>
    <w:rsid w:val="00416C8D"/>
    <w:rsid w:val="00416E23"/>
    <w:rsid w:val="0041718C"/>
    <w:rsid w:val="00420BAE"/>
    <w:rsid w:val="00421080"/>
    <w:rsid w:val="004228A0"/>
    <w:rsid w:val="00426494"/>
    <w:rsid w:val="00426E44"/>
    <w:rsid w:val="00427636"/>
    <w:rsid w:val="00430633"/>
    <w:rsid w:val="00431A6C"/>
    <w:rsid w:val="00431B1C"/>
    <w:rsid w:val="00431E3A"/>
    <w:rsid w:val="00434356"/>
    <w:rsid w:val="00434CFE"/>
    <w:rsid w:val="00434E53"/>
    <w:rsid w:val="004354A0"/>
    <w:rsid w:val="004354BF"/>
    <w:rsid w:val="00436CF9"/>
    <w:rsid w:val="00437E4C"/>
    <w:rsid w:val="004400CC"/>
    <w:rsid w:val="00441FDA"/>
    <w:rsid w:val="00442911"/>
    <w:rsid w:val="00450A58"/>
    <w:rsid w:val="004546FC"/>
    <w:rsid w:val="00455E2C"/>
    <w:rsid w:val="0045608C"/>
    <w:rsid w:val="004566BD"/>
    <w:rsid w:val="00456999"/>
    <w:rsid w:val="00456C4D"/>
    <w:rsid w:val="00456DF1"/>
    <w:rsid w:val="0045777C"/>
    <w:rsid w:val="00460D52"/>
    <w:rsid w:val="00460F98"/>
    <w:rsid w:val="00461044"/>
    <w:rsid w:val="004616B2"/>
    <w:rsid w:val="00462F73"/>
    <w:rsid w:val="0046378C"/>
    <w:rsid w:val="0046389D"/>
    <w:rsid w:val="00463933"/>
    <w:rsid w:val="00463BA2"/>
    <w:rsid w:val="00464E43"/>
    <w:rsid w:val="00465199"/>
    <w:rsid w:val="0046709F"/>
    <w:rsid w:val="004679F0"/>
    <w:rsid w:val="00470D01"/>
    <w:rsid w:val="00471306"/>
    <w:rsid w:val="00471706"/>
    <w:rsid w:val="00471B28"/>
    <w:rsid w:val="00477267"/>
    <w:rsid w:val="00480109"/>
    <w:rsid w:val="00481A9B"/>
    <w:rsid w:val="00483C61"/>
    <w:rsid w:val="00484B50"/>
    <w:rsid w:val="00486115"/>
    <w:rsid w:val="0048765A"/>
    <w:rsid w:val="004878D1"/>
    <w:rsid w:val="00487F31"/>
    <w:rsid w:val="00487F57"/>
    <w:rsid w:val="00491CE3"/>
    <w:rsid w:val="00492E31"/>
    <w:rsid w:val="004931EB"/>
    <w:rsid w:val="00494152"/>
    <w:rsid w:val="004954B7"/>
    <w:rsid w:val="004962B5"/>
    <w:rsid w:val="00497826"/>
    <w:rsid w:val="004A0367"/>
    <w:rsid w:val="004A0A9F"/>
    <w:rsid w:val="004A3F36"/>
    <w:rsid w:val="004A6AEE"/>
    <w:rsid w:val="004B21FE"/>
    <w:rsid w:val="004B2B02"/>
    <w:rsid w:val="004B4960"/>
    <w:rsid w:val="004B4AFE"/>
    <w:rsid w:val="004B7C62"/>
    <w:rsid w:val="004C0500"/>
    <w:rsid w:val="004C0D99"/>
    <w:rsid w:val="004C1516"/>
    <w:rsid w:val="004C17FE"/>
    <w:rsid w:val="004C1879"/>
    <w:rsid w:val="004C31C7"/>
    <w:rsid w:val="004C4BD9"/>
    <w:rsid w:val="004D0BA9"/>
    <w:rsid w:val="004D17E0"/>
    <w:rsid w:val="004D4DA8"/>
    <w:rsid w:val="004D5202"/>
    <w:rsid w:val="004D6882"/>
    <w:rsid w:val="004D7220"/>
    <w:rsid w:val="004D7FA3"/>
    <w:rsid w:val="004E02AE"/>
    <w:rsid w:val="004E47DA"/>
    <w:rsid w:val="004E5663"/>
    <w:rsid w:val="004E5D63"/>
    <w:rsid w:val="004E6534"/>
    <w:rsid w:val="004E6FD8"/>
    <w:rsid w:val="004E753B"/>
    <w:rsid w:val="004E7E6A"/>
    <w:rsid w:val="004F0C38"/>
    <w:rsid w:val="004F257A"/>
    <w:rsid w:val="004F425D"/>
    <w:rsid w:val="004F4472"/>
    <w:rsid w:val="004F76F3"/>
    <w:rsid w:val="00500177"/>
    <w:rsid w:val="00501F52"/>
    <w:rsid w:val="00503B7F"/>
    <w:rsid w:val="005040EB"/>
    <w:rsid w:val="005049C9"/>
    <w:rsid w:val="00505FDD"/>
    <w:rsid w:val="0050705D"/>
    <w:rsid w:val="005070C0"/>
    <w:rsid w:val="00510036"/>
    <w:rsid w:val="0051006F"/>
    <w:rsid w:val="00512702"/>
    <w:rsid w:val="00512AF2"/>
    <w:rsid w:val="00513C48"/>
    <w:rsid w:val="005147A3"/>
    <w:rsid w:val="00514AA1"/>
    <w:rsid w:val="00515841"/>
    <w:rsid w:val="00516A79"/>
    <w:rsid w:val="00516C57"/>
    <w:rsid w:val="0051778D"/>
    <w:rsid w:val="00523A90"/>
    <w:rsid w:val="005305A2"/>
    <w:rsid w:val="0053283D"/>
    <w:rsid w:val="00532A70"/>
    <w:rsid w:val="00534111"/>
    <w:rsid w:val="005348C9"/>
    <w:rsid w:val="00535150"/>
    <w:rsid w:val="00537FBA"/>
    <w:rsid w:val="005424A6"/>
    <w:rsid w:val="0054451A"/>
    <w:rsid w:val="00545B3A"/>
    <w:rsid w:val="005505C4"/>
    <w:rsid w:val="00552945"/>
    <w:rsid w:val="005529EC"/>
    <w:rsid w:val="00554482"/>
    <w:rsid w:val="00555AED"/>
    <w:rsid w:val="005569FF"/>
    <w:rsid w:val="00557069"/>
    <w:rsid w:val="00557631"/>
    <w:rsid w:val="00561DC2"/>
    <w:rsid w:val="00562203"/>
    <w:rsid w:val="00562725"/>
    <w:rsid w:val="0056394B"/>
    <w:rsid w:val="005654E3"/>
    <w:rsid w:val="00566743"/>
    <w:rsid w:val="00570331"/>
    <w:rsid w:val="0057043B"/>
    <w:rsid w:val="0057069F"/>
    <w:rsid w:val="00570AB8"/>
    <w:rsid w:val="005716DC"/>
    <w:rsid w:val="00571D35"/>
    <w:rsid w:val="00571DCD"/>
    <w:rsid w:val="005742FC"/>
    <w:rsid w:val="005752FD"/>
    <w:rsid w:val="00575821"/>
    <w:rsid w:val="005761DE"/>
    <w:rsid w:val="005763AB"/>
    <w:rsid w:val="00577224"/>
    <w:rsid w:val="00581012"/>
    <w:rsid w:val="0058211E"/>
    <w:rsid w:val="00582ED8"/>
    <w:rsid w:val="00582F5E"/>
    <w:rsid w:val="00585765"/>
    <w:rsid w:val="005868A9"/>
    <w:rsid w:val="00587A82"/>
    <w:rsid w:val="00591BFB"/>
    <w:rsid w:val="00592451"/>
    <w:rsid w:val="00594999"/>
    <w:rsid w:val="00596A7C"/>
    <w:rsid w:val="005A023B"/>
    <w:rsid w:val="005A16A1"/>
    <w:rsid w:val="005A28B7"/>
    <w:rsid w:val="005A63BC"/>
    <w:rsid w:val="005A6B9C"/>
    <w:rsid w:val="005B060C"/>
    <w:rsid w:val="005B194E"/>
    <w:rsid w:val="005B3EDE"/>
    <w:rsid w:val="005B4C98"/>
    <w:rsid w:val="005B4D14"/>
    <w:rsid w:val="005B58C2"/>
    <w:rsid w:val="005B771D"/>
    <w:rsid w:val="005B789C"/>
    <w:rsid w:val="005B7DAF"/>
    <w:rsid w:val="005B7F11"/>
    <w:rsid w:val="005B7FDF"/>
    <w:rsid w:val="005C22EC"/>
    <w:rsid w:val="005C6084"/>
    <w:rsid w:val="005C6303"/>
    <w:rsid w:val="005C791D"/>
    <w:rsid w:val="005C7A6A"/>
    <w:rsid w:val="005D0E6A"/>
    <w:rsid w:val="005D3949"/>
    <w:rsid w:val="005D47F2"/>
    <w:rsid w:val="005D5FD8"/>
    <w:rsid w:val="005D6246"/>
    <w:rsid w:val="005D72A9"/>
    <w:rsid w:val="005E0EDE"/>
    <w:rsid w:val="005E2705"/>
    <w:rsid w:val="005E2A7A"/>
    <w:rsid w:val="005E7EDB"/>
    <w:rsid w:val="005F1296"/>
    <w:rsid w:val="005F14D7"/>
    <w:rsid w:val="005F1580"/>
    <w:rsid w:val="005F1E07"/>
    <w:rsid w:val="005F257D"/>
    <w:rsid w:val="005F3675"/>
    <w:rsid w:val="005F47E4"/>
    <w:rsid w:val="005F57B0"/>
    <w:rsid w:val="00603AE3"/>
    <w:rsid w:val="00605CD3"/>
    <w:rsid w:val="006105BE"/>
    <w:rsid w:val="0061144F"/>
    <w:rsid w:val="006123DC"/>
    <w:rsid w:val="0061371D"/>
    <w:rsid w:val="006151DB"/>
    <w:rsid w:val="006152B2"/>
    <w:rsid w:val="00617DA0"/>
    <w:rsid w:val="00620436"/>
    <w:rsid w:val="006215F0"/>
    <w:rsid w:val="00621768"/>
    <w:rsid w:val="00622721"/>
    <w:rsid w:val="00622C9F"/>
    <w:rsid w:val="0062427A"/>
    <w:rsid w:val="00630501"/>
    <w:rsid w:val="00630DD5"/>
    <w:rsid w:val="00630DD8"/>
    <w:rsid w:val="00630E56"/>
    <w:rsid w:val="00631A1E"/>
    <w:rsid w:val="00632008"/>
    <w:rsid w:val="00636ED6"/>
    <w:rsid w:val="006378D3"/>
    <w:rsid w:val="0064092C"/>
    <w:rsid w:val="00642DF6"/>
    <w:rsid w:val="00651D7B"/>
    <w:rsid w:val="00653D82"/>
    <w:rsid w:val="00660B6F"/>
    <w:rsid w:val="006644AF"/>
    <w:rsid w:val="006673D5"/>
    <w:rsid w:val="00667703"/>
    <w:rsid w:val="00667AC5"/>
    <w:rsid w:val="00673BC1"/>
    <w:rsid w:val="00673F2D"/>
    <w:rsid w:val="00674815"/>
    <w:rsid w:val="00674E64"/>
    <w:rsid w:val="00676ABD"/>
    <w:rsid w:val="00676AEE"/>
    <w:rsid w:val="0068013E"/>
    <w:rsid w:val="00680F39"/>
    <w:rsid w:val="00684414"/>
    <w:rsid w:val="00685B11"/>
    <w:rsid w:val="00686C7A"/>
    <w:rsid w:val="00691EF1"/>
    <w:rsid w:val="00692856"/>
    <w:rsid w:val="00693CE5"/>
    <w:rsid w:val="00695B5B"/>
    <w:rsid w:val="0069667F"/>
    <w:rsid w:val="0069715E"/>
    <w:rsid w:val="00697944"/>
    <w:rsid w:val="006A1298"/>
    <w:rsid w:val="006A4342"/>
    <w:rsid w:val="006A48FC"/>
    <w:rsid w:val="006A4F26"/>
    <w:rsid w:val="006A515F"/>
    <w:rsid w:val="006A5426"/>
    <w:rsid w:val="006A5595"/>
    <w:rsid w:val="006A63FA"/>
    <w:rsid w:val="006A7C1C"/>
    <w:rsid w:val="006A7FDF"/>
    <w:rsid w:val="006B02A1"/>
    <w:rsid w:val="006B03FD"/>
    <w:rsid w:val="006B1DD3"/>
    <w:rsid w:val="006B2111"/>
    <w:rsid w:val="006B298B"/>
    <w:rsid w:val="006B2C70"/>
    <w:rsid w:val="006B2C74"/>
    <w:rsid w:val="006B5A27"/>
    <w:rsid w:val="006B5A5D"/>
    <w:rsid w:val="006B5CF6"/>
    <w:rsid w:val="006B783F"/>
    <w:rsid w:val="006C17FB"/>
    <w:rsid w:val="006C43C2"/>
    <w:rsid w:val="006C4C3F"/>
    <w:rsid w:val="006C57B8"/>
    <w:rsid w:val="006C5843"/>
    <w:rsid w:val="006C5B87"/>
    <w:rsid w:val="006C6BDC"/>
    <w:rsid w:val="006D43E1"/>
    <w:rsid w:val="006D4499"/>
    <w:rsid w:val="006D57AA"/>
    <w:rsid w:val="006D68E8"/>
    <w:rsid w:val="006D6FCB"/>
    <w:rsid w:val="006D74D3"/>
    <w:rsid w:val="006E0702"/>
    <w:rsid w:val="006E29FB"/>
    <w:rsid w:val="006E6581"/>
    <w:rsid w:val="006E726A"/>
    <w:rsid w:val="006F0B72"/>
    <w:rsid w:val="006F4F75"/>
    <w:rsid w:val="006F5963"/>
    <w:rsid w:val="007002BE"/>
    <w:rsid w:val="00701E52"/>
    <w:rsid w:val="007042A2"/>
    <w:rsid w:val="007057FC"/>
    <w:rsid w:val="007062BA"/>
    <w:rsid w:val="00706473"/>
    <w:rsid w:val="00706630"/>
    <w:rsid w:val="00706B16"/>
    <w:rsid w:val="00710272"/>
    <w:rsid w:val="007104FC"/>
    <w:rsid w:val="00711875"/>
    <w:rsid w:val="00711CEB"/>
    <w:rsid w:val="0071250B"/>
    <w:rsid w:val="007125DC"/>
    <w:rsid w:val="0071341B"/>
    <w:rsid w:val="00713AE8"/>
    <w:rsid w:val="007152C0"/>
    <w:rsid w:val="0071641B"/>
    <w:rsid w:val="0072140D"/>
    <w:rsid w:val="00727159"/>
    <w:rsid w:val="00732E53"/>
    <w:rsid w:val="00742463"/>
    <w:rsid w:val="00745D5F"/>
    <w:rsid w:val="00751522"/>
    <w:rsid w:val="0075162C"/>
    <w:rsid w:val="0075227F"/>
    <w:rsid w:val="00753075"/>
    <w:rsid w:val="007535F5"/>
    <w:rsid w:val="00753B61"/>
    <w:rsid w:val="00755B1A"/>
    <w:rsid w:val="007568FB"/>
    <w:rsid w:val="00756CA3"/>
    <w:rsid w:val="00757C47"/>
    <w:rsid w:val="007611EC"/>
    <w:rsid w:val="00762328"/>
    <w:rsid w:val="007652FF"/>
    <w:rsid w:val="007653AC"/>
    <w:rsid w:val="0076542C"/>
    <w:rsid w:val="00766204"/>
    <w:rsid w:val="007671AD"/>
    <w:rsid w:val="00770FD7"/>
    <w:rsid w:val="007726EB"/>
    <w:rsid w:val="00772CB6"/>
    <w:rsid w:val="00772D90"/>
    <w:rsid w:val="00772FE7"/>
    <w:rsid w:val="00773809"/>
    <w:rsid w:val="00773876"/>
    <w:rsid w:val="00776B26"/>
    <w:rsid w:val="007800B3"/>
    <w:rsid w:val="0078012E"/>
    <w:rsid w:val="0078074E"/>
    <w:rsid w:val="00781218"/>
    <w:rsid w:val="00781B83"/>
    <w:rsid w:val="007839E7"/>
    <w:rsid w:val="0078654D"/>
    <w:rsid w:val="00791246"/>
    <w:rsid w:val="007913C0"/>
    <w:rsid w:val="00791D34"/>
    <w:rsid w:val="0079377C"/>
    <w:rsid w:val="00795245"/>
    <w:rsid w:val="00795449"/>
    <w:rsid w:val="00796287"/>
    <w:rsid w:val="007973F1"/>
    <w:rsid w:val="007A2C9E"/>
    <w:rsid w:val="007A3D11"/>
    <w:rsid w:val="007A4E00"/>
    <w:rsid w:val="007A55C8"/>
    <w:rsid w:val="007A7E83"/>
    <w:rsid w:val="007B0A14"/>
    <w:rsid w:val="007B3EC7"/>
    <w:rsid w:val="007B3FBD"/>
    <w:rsid w:val="007B4D56"/>
    <w:rsid w:val="007B5530"/>
    <w:rsid w:val="007B5DAD"/>
    <w:rsid w:val="007B766D"/>
    <w:rsid w:val="007C1A1D"/>
    <w:rsid w:val="007C2FDA"/>
    <w:rsid w:val="007C4102"/>
    <w:rsid w:val="007C487B"/>
    <w:rsid w:val="007C56A0"/>
    <w:rsid w:val="007C5EB6"/>
    <w:rsid w:val="007D0EC0"/>
    <w:rsid w:val="007D26C9"/>
    <w:rsid w:val="007D5160"/>
    <w:rsid w:val="007E0BB7"/>
    <w:rsid w:val="007E12BB"/>
    <w:rsid w:val="007E1B7F"/>
    <w:rsid w:val="007E2F6F"/>
    <w:rsid w:val="007E443F"/>
    <w:rsid w:val="007E4844"/>
    <w:rsid w:val="007E6389"/>
    <w:rsid w:val="007E6480"/>
    <w:rsid w:val="007E65AA"/>
    <w:rsid w:val="007F01BD"/>
    <w:rsid w:val="007F19E9"/>
    <w:rsid w:val="007F1F31"/>
    <w:rsid w:val="007F2A86"/>
    <w:rsid w:val="007F6490"/>
    <w:rsid w:val="008037BF"/>
    <w:rsid w:val="00803FD3"/>
    <w:rsid w:val="0080463F"/>
    <w:rsid w:val="0080517D"/>
    <w:rsid w:val="008105DC"/>
    <w:rsid w:val="008151DA"/>
    <w:rsid w:val="00815C8D"/>
    <w:rsid w:val="00820290"/>
    <w:rsid w:val="008210F3"/>
    <w:rsid w:val="00821E15"/>
    <w:rsid w:val="0082246A"/>
    <w:rsid w:val="008224E6"/>
    <w:rsid w:val="00823C99"/>
    <w:rsid w:val="00824F02"/>
    <w:rsid w:val="008259DF"/>
    <w:rsid w:val="00827BBB"/>
    <w:rsid w:val="00830687"/>
    <w:rsid w:val="00831B77"/>
    <w:rsid w:val="00833C48"/>
    <w:rsid w:val="00834C3D"/>
    <w:rsid w:val="00836731"/>
    <w:rsid w:val="008409FF"/>
    <w:rsid w:val="00840CD5"/>
    <w:rsid w:val="008414EC"/>
    <w:rsid w:val="008420E4"/>
    <w:rsid w:val="00842EF1"/>
    <w:rsid w:val="008439B3"/>
    <w:rsid w:val="00844312"/>
    <w:rsid w:val="00846F25"/>
    <w:rsid w:val="0084722D"/>
    <w:rsid w:val="008474C3"/>
    <w:rsid w:val="00847800"/>
    <w:rsid w:val="008514E9"/>
    <w:rsid w:val="008522F2"/>
    <w:rsid w:val="00853B68"/>
    <w:rsid w:val="00855591"/>
    <w:rsid w:val="00862C2F"/>
    <w:rsid w:val="008640DB"/>
    <w:rsid w:val="00864F3D"/>
    <w:rsid w:val="00866C92"/>
    <w:rsid w:val="00867236"/>
    <w:rsid w:val="00871951"/>
    <w:rsid w:val="008723F2"/>
    <w:rsid w:val="008731AA"/>
    <w:rsid w:val="00873CCF"/>
    <w:rsid w:val="00874999"/>
    <w:rsid w:val="00875449"/>
    <w:rsid w:val="008779F7"/>
    <w:rsid w:val="00881DC8"/>
    <w:rsid w:val="00882D56"/>
    <w:rsid w:val="00882EF9"/>
    <w:rsid w:val="00883B9B"/>
    <w:rsid w:val="00885911"/>
    <w:rsid w:val="00886747"/>
    <w:rsid w:val="008871F0"/>
    <w:rsid w:val="0089128F"/>
    <w:rsid w:val="00891CA4"/>
    <w:rsid w:val="00893D9F"/>
    <w:rsid w:val="00894F43"/>
    <w:rsid w:val="008955BB"/>
    <w:rsid w:val="008956E4"/>
    <w:rsid w:val="008957A5"/>
    <w:rsid w:val="0089614D"/>
    <w:rsid w:val="008965C3"/>
    <w:rsid w:val="00896E2D"/>
    <w:rsid w:val="008A180D"/>
    <w:rsid w:val="008A1C00"/>
    <w:rsid w:val="008A4174"/>
    <w:rsid w:val="008B19DD"/>
    <w:rsid w:val="008B1FDE"/>
    <w:rsid w:val="008B4C3D"/>
    <w:rsid w:val="008B5BFB"/>
    <w:rsid w:val="008B68A4"/>
    <w:rsid w:val="008C0009"/>
    <w:rsid w:val="008C23C2"/>
    <w:rsid w:val="008C3E31"/>
    <w:rsid w:val="008C4977"/>
    <w:rsid w:val="008D0D04"/>
    <w:rsid w:val="008D0E95"/>
    <w:rsid w:val="008D0FB7"/>
    <w:rsid w:val="008D34C5"/>
    <w:rsid w:val="008D3A81"/>
    <w:rsid w:val="008D3D90"/>
    <w:rsid w:val="008D4F5D"/>
    <w:rsid w:val="008D521F"/>
    <w:rsid w:val="008E0AF3"/>
    <w:rsid w:val="008E1D74"/>
    <w:rsid w:val="008E267C"/>
    <w:rsid w:val="008E3DDF"/>
    <w:rsid w:val="008E440C"/>
    <w:rsid w:val="008E5AE5"/>
    <w:rsid w:val="008F073E"/>
    <w:rsid w:val="008F0F07"/>
    <w:rsid w:val="008F12DA"/>
    <w:rsid w:val="008F170B"/>
    <w:rsid w:val="008F1967"/>
    <w:rsid w:val="008F2A8A"/>
    <w:rsid w:val="008F355D"/>
    <w:rsid w:val="008F3BAA"/>
    <w:rsid w:val="008F4E73"/>
    <w:rsid w:val="008F5880"/>
    <w:rsid w:val="008F6013"/>
    <w:rsid w:val="008F7EF1"/>
    <w:rsid w:val="0090122F"/>
    <w:rsid w:val="00901C0B"/>
    <w:rsid w:val="009036D9"/>
    <w:rsid w:val="00903BE4"/>
    <w:rsid w:val="00904A89"/>
    <w:rsid w:val="009052F3"/>
    <w:rsid w:val="00905E22"/>
    <w:rsid w:val="009122F9"/>
    <w:rsid w:val="0091251F"/>
    <w:rsid w:val="009133EB"/>
    <w:rsid w:val="0091409F"/>
    <w:rsid w:val="0091506C"/>
    <w:rsid w:val="00916EF7"/>
    <w:rsid w:val="00916FDB"/>
    <w:rsid w:val="009173DC"/>
    <w:rsid w:val="00917D69"/>
    <w:rsid w:val="00921EAC"/>
    <w:rsid w:val="00922615"/>
    <w:rsid w:val="00923164"/>
    <w:rsid w:val="00924883"/>
    <w:rsid w:val="009253E7"/>
    <w:rsid w:val="00925960"/>
    <w:rsid w:val="009269AF"/>
    <w:rsid w:val="00927D34"/>
    <w:rsid w:val="009326F2"/>
    <w:rsid w:val="009346B5"/>
    <w:rsid w:val="00935310"/>
    <w:rsid w:val="00936D88"/>
    <w:rsid w:val="009373E3"/>
    <w:rsid w:val="00942717"/>
    <w:rsid w:val="00942A36"/>
    <w:rsid w:val="00946935"/>
    <w:rsid w:val="00951899"/>
    <w:rsid w:val="00951F29"/>
    <w:rsid w:val="00952E7D"/>
    <w:rsid w:val="0095558D"/>
    <w:rsid w:val="009556C1"/>
    <w:rsid w:val="009567A4"/>
    <w:rsid w:val="009576D8"/>
    <w:rsid w:val="00962E83"/>
    <w:rsid w:val="00962E9C"/>
    <w:rsid w:val="009634FA"/>
    <w:rsid w:val="00966230"/>
    <w:rsid w:val="00966558"/>
    <w:rsid w:val="00971701"/>
    <w:rsid w:val="0097233D"/>
    <w:rsid w:val="00976200"/>
    <w:rsid w:val="0097775A"/>
    <w:rsid w:val="00980C69"/>
    <w:rsid w:val="00982FAC"/>
    <w:rsid w:val="00984440"/>
    <w:rsid w:val="00987435"/>
    <w:rsid w:val="00987EE9"/>
    <w:rsid w:val="00990373"/>
    <w:rsid w:val="009903E8"/>
    <w:rsid w:val="009906FC"/>
    <w:rsid w:val="00994127"/>
    <w:rsid w:val="00994229"/>
    <w:rsid w:val="00996AAD"/>
    <w:rsid w:val="009973D2"/>
    <w:rsid w:val="009976E2"/>
    <w:rsid w:val="009A0A01"/>
    <w:rsid w:val="009A43D9"/>
    <w:rsid w:val="009A4805"/>
    <w:rsid w:val="009A613A"/>
    <w:rsid w:val="009B0303"/>
    <w:rsid w:val="009B0E60"/>
    <w:rsid w:val="009B230D"/>
    <w:rsid w:val="009B342E"/>
    <w:rsid w:val="009B3F41"/>
    <w:rsid w:val="009B606C"/>
    <w:rsid w:val="009B7BFA"/>
    <w:rsid w:val="009C02D7"/>
    <w:rsid w:val="009C1586"/>
    <w:rsid w:val="009C1C36"/>
    <w:rsid w:val="009C2C7A"/>
    <w:rsid w:val="009C383F"/>
    <w:rsid w:val="009C6CA6"/>
    <w:rsid w:val="009D48A5"/>
    <w:rsid w:val="009D539C"/>
    <w:rsid w:val="009D57E1"/>
    <w:rsid w:val="009D609B"/>
    <w:rsid w:val="009D6ECC"/>
    <w:rsid w:val="009E1F63"/>
    <w:rsid w:val="009E3761"/>
    <w:rsid w:val="009E3F04"/>
    <w:rsid w:val="009E3FF4"/>
    <w:rsid w:val="009E4678"/>
    <w:rsid w:val="009E519E"/>
    <w:rsid w:val="009E5EB7"/>
    <w:rsid w:val="009F04B3"/>
    <w:rsid w:val="009F0EED"/>
    <w:rsid w:val="009F224B"/>
    <w:rsid w:val="009F2421"/>
    <w:rsid w:val="009F2DFE"/>
    <w:rsid w:val="009F2E6A"/>
    <w:rsid w:val="009F3BAE"/>
    <w:rsid w:val="009F5735"/>
    <w:rsid w:val="009F7008"/>
    <w:rsid w:val="009F753B"/>
    <w:rsid w:val="009F75DF"/>
    <w:rsid w:val="009F7C7D"/>
    <w:rsid w:val="00A0024B"/>
    <w:rsid w:val="00A0501E"/>
    <w:rsid w:val="00A05E96"/>
    <w:rsid w:val="00A10FBA"/>
    <w:rsid w:val="00A112AA"/>
    <w:rsid w:val="00A11CD1"/>
    <w:rsid w:val="00A1262E"/>
    <w:rsid w:val="00A1308E"/>
    <w:rsid w:val="00A14242"/>
    <w:rsid w:val="00A15227"/>
    <w:rsid w:val="00A16A7B"/>
    <w:rsid w:val="00A1770E"/>
    <w:rsid w:val="00A21C40"/>
    <w:rsid w:val="00A21C8A"/>
    <w:rsid w:val="00A24436"/>
    <w:rsid w:val="00A24890"/>
    <w:rsid w:val="00A25768"/>
    <w:rsid w:val="00A2595E"/>
    <w:rsid w:val="00A2620D"/>
    <w:rsid w:val="00A26290"/>
    <w:rsid w:val="00A26DC3"/>
    <w:rsid w:val="00A27661"/>
    <w:rsid w:val="00A27E33"/>
    <w:rsid w:val="00A30D12"/>
    <w:rsid w:val="00A32675"/>
    <w:rsid w:val="00A332C8"/>
    <w:rsid w:val="00A341BD"/>
    <w:rsid w:val="00A341FC"/>
    <w:rsid w:val="00A37E85"/>
    <w:rsid w:val="00A40E9F"/>
    <w:rsid w:val="00A433F5"/>
    <w:rsid w:val="00A439D7"/>
    <w:rsid w:val="00A4547F"/>
    <w:rsid w:val="00A462DE"/>
    <w:rsid w:val="00A46D14"/>
    <w:rsid w:val="00A47A0B"/>
    <w:rsid w:val="00A507B7"/>
    <w:rsid w:val="00A51EEA"/>
    <w:rsid w:val="00A54EF2"/>
    <w:rsid w:val="00A5617A"/>
    <w:rsid w:val="00A56EF9"/>
    <w:rsid w:val="00A601AC"/>
    <w:rsid w:val="00A6044E"/>
    <w:rsid w:val="00A61C06"/>
    <w:rsid w:val="00A61E08"/>
    <w:rsid w:val="00A63EA9"/>
    <w:rsid w:val="00A649EC"/>
    <w:rsid w:val="00A64FF9"/>
    <w:rsid w:val="00A653DB"/>
    <w:rsid w:val="00A66B13"/>
    <w:rsid w:val="00A707E6"/>
    <w:rsid w:val="00A71AC0"/>
    <w:rsid w:val="00A72AD5"/>
    <w:rsid w:val="00A735DB"/>
    <w:rsid w:val="00A73A7E"/>
    <w:rsid w:val="00A74438"/>
    <w:rsid w:val="00A74D0F"/>
    <w:rsid w:val="00A750B7"/>
    <w:rsid w:val="00A75E8E"/>
    <w:rsid w:val="00A766D9"/>
    <w:rsid w:val="00A76A4D"/>
    <w:rsid w:val="00A83902"/>
    <w:rsid w:val="00A84A07"/>
    <w:rsid w:val="00A85016"/>
    <w:rsid w:val="00A857CD"/>
    <w:rsid w:val="00A900F5"/>
    <w:rsid w:val="00A90963"/>
    <w:rsid w:val="00A914EB"/>
    <w:rsid w:val="00A922B0"/>
    <w:rsid w:val="00A94532"/>
    <w:rsid w:val="00AA0BCB"/>
    <w:rsid w:val="00AA1346"/>
    <w:rsid w:val="00AA240E"/>
    <w:rsid w:val="00AA29BC"/>
    <w:rsid w:val="00AA3588"/>
    <w:rsid w:val="00AA38A3"/>
    <w:rsid w:val="00AA4387"/>
    <w:rsid w:val="00AA4E3F"/>
    <w:rsid w:val="00AA4E62"/>
    <w:rsid w:val="00AA55FE"/>
    <w:rsid w:val="00AA5F4D"/>
    <w:rsid w:val="00AA7724"/>
    <w:rsid w:val="00AA7EAE"/>
    <w:rsid w:val="00AB00AB"/>
    <w:rsid w:val="00AB05DA"/>
    <w:rsid w:val="00AB09AA"/>
    <w:rsid w:val="00AB11C4"/>
    <w:rsid w:val="00AB2FF7"/>
    <w:rsid w:val="00AB3D5D"/>
    <w:rsid w:val="00AB75C4"/>
    <w:rsid w:val="00AC150F"/>
    <w:rsid w:val="00AC38C6"/>
    <w:rsid w:val="00AC3E8B"/>
    <w:rsid w:val="00AC4C1E"/>
    <w:rsid w:val="00AD18FB"/>
    <w:rsid w:val="00AD32E5"/>
    <w:rsid w:val="00AD363D"/>
    <w:rsid w:val="00AD36AD"/>
    <w:rsid w:val="00AD46EB"/>
    <w:rsid w:val="00AD4774"/>
    <w:rsid w:val="00AD4E56"/>
    <w:rsid w:val="00AD5E92"/>
    <w:rsid w:val="00AD7AFF"/>
    <w:rsid w:val="00AE05CC"/>
    <w:rsid w:val="00AE09EF"/>
    <w:rsid w:val="00AE2818"/>
    <w:rsid w:val="00AE2E36"/>
    <w:rsid w:val="00AE3373"/>
    <w:rsid w:val="00AE3658"/>
    <w:rsid w:val="00AE3F83"/>
    <w:rsid w:val="00AE47B7"/>
    <w:rsid w:val="00AE52C4"/>
    <w:rsid w:val="00AE6371"/>
    <w:rsid w:val="00AE6A98"/>
    <w:rsid w:val="00AF0567"/>
    <w:rsid w:val="00AF0884"/>
    <w:rsid w:val="00AF109D"/>
    <w:rsid w:val="00AF4105"/>
    <w:rsid w:val="00AF4E4E"/>
    <w:rsid w:val="00AF6BEC"/>
    <w:rsid w:val="00B01EFF"/>
    <w:rsid w:val="00B033F2"/>
    <w:rsid w:val="00B03E84"/>
    <w:rsid w:val="00B04640"/>
    <w:rsid w:val="00B07CD0"/>
    <w:rsid w:val="00B10CAF"/>
    <w:rsid w:val="00B125AF"/>
    <w:rsid w:val="00B1475C"/>
    <w:rsid w:val="00B14B19"/>
    <w:rsid w:val="00B15050"/>
    <w:rsid w:val="00B16E4D"/>
    <w:rsid w:val="00B20C63"/>
    <w:rsid w:val="00B21E33"/>
    <w:rsid w:val="00B23694"/>
    <w:rsid w:val="00B24541"/>
    <w:rsid w:val="00B24ACB"/>
    <w:rsid w:val="00B27899"/>
    <w:rsid w:val="00B27990"/>
    <w:rsid w:val="00B279D8"/>
    <w:rsid w:val="00B331D2"/>
    <w:rsid w:val="00B3343B"/>
    <w:rsid w:val="00B357D3"/>
    <w:rsid w:val="00B36029"/>
    <w:rsid w:val="00B36380"/>
    <w:rsid w:val="00B36A11"/>
    <w:rsid w:val="00B378F0"/>
    <w:rsid w:val="00B4144D"/>
    <w:rsid w:val="00B42DCD"/>
    <w:rsid w:val="00B435CB"/>
    <w:rsid w:val="00B440D2"/>
    <w:rsid w:val="00B44292"/>
    <w:rsid w:val="00B4566C"/>
    <w:rsid w:val="00B459ED"/>
    <w:rsid w:val="00B46DE9"/>
    <w:rsid w:val="00B47748"/>
    <w:rsid w:val="00B51032"/>
    <w:rsid w:val="00B51561"/>
    <w:rsid w:val="00B5161F"/>
    <w:rsid w:val="00B51AE1"/>
    <w:rsid w:val="00B5274B"/>
    <w:rsid w:val="00B5459F"/>
    <w:rsid w:val="00B54680"/>
    <w:rsid w:val="00B554B8"/>
    <w:rsid w:val="00B570E4"/>
    <w:rsid w:val="00B57808"/>
    <w:rsid w:val="00B60D9B"/>
    <w:rsid w:val="00B61D47"/>
    <w:rsid w:val="00B62A48"/>
    <w:rsid w:val="00B63477"/>
    <w:rsid w:val="00B63A41"/>
    <w:rsid w:val="00B64E7D"/>
    <w:rsid w:val="00B64EBD"/>
    <w:rsid w:val="00B670A5"/>
    <w:rsid w:val="00B67589"/>
    <w:rsid w:val="00B7110B"/>
    <w:rsid w:val="00B71EA8"/>
    <w:rsid w:val="00B7394B"/>
    <w:rsid w:val="00B74C97"/>
    <w:rsid w:val="00B81AD9"/>
    <w:rsid w:val="00B82811"/>
    <w:rsid w:val="00B82E70"/>
    <w:rsid w:val="00B83B9B"/>
    <w:rsid w:val="00B83EF1"/>
    <w:rsid w:val="00B84FB1"/>
    <w:rsid w:val="00B8723B"/>
    <w:rsid w:val="00B9336F"/>
    <w:rsid w:val="00B9507C"/>
    <w:rsid w:val="00B95B21"/>
    <w:rsid w:val="00B95F8D"/>
    <w:rsid w:val="00B96F5B"/>
    <w:rsid w:val="00B97163"/>
    <w:rsid w:val="00B976C4"/>
    <w:rsid w:val="00B97A9E"/>
    <w:rsid w:val="00BA1712"/>
    <w:rsid w:val="00BA2F7F"/>
    <w:rsid w:val="00BA57C5"/>
    <w:rsid w:val="00BA6B69"/>
    <w:rsid w:val="00BA6CDD"/>
    <w:rsid w:val="00BA7BC2"/>
    <w:rsid w:val="00BB0FCE"/>
    <w:rsid w:val="00BB125D"/>
    <w:rsid w:val="00BB13C4"/>
    <w:rsid w:val="00BB184E"/>
    <w:rsid w:val="00BB1CC1"/>
    <w:rsid w:val="00BB2207"/>
    <w:rsid w:val="00BB2535"/>
    <w:rsid w:val="00BB42BC"/>
    <w:rsid w:val="00BB4758"/>
    <w:rsid w:val="00BB4D78"/>
    <w:rsid w:val="00BB6317"/>
    <w:rsid w:val="00BB73FF"/>
    <w:rsid w:val="00BB77AA"/>
    <w:rsid w:val="00BC161D"/>
    <w:rsid w:val="00BC2112"/>
    <w:rsid w:val="00BC40D8"/>
    <w:rsid w:val="00BC5AC2"/>
    <w:rsid w:val="00BC60C3"/>
    <w:rsid w:val="00BC75EA"/>
    <w:rsid w:val="00BD1ACC"/>
    <w:rsid w:val="00BD2490"/>
    <w:rsid w:val="00BD29B9"/>
    <w:rsid w:val="00BD3B64"/>
    <w:rsid w:val="00BD3DDD"/>
    <w:rsid w:val="00BD3F15"/>
    <w:rsid w:val="00BD47EA"/>
    <w:rsid w:val="00BD4B19"/>
    <w:rsid w:val="00BE0F4D"/>
    <w:rsid w:val="00BE1567"/>
    <w:rsid w:val="00BE19F0"/>
    <w:rsid w:val="00BE2430"/>
    <w:rsid w:val="00BE26DA"/>
    <w:rsid w:val="00BF0138"/>
    <w:rsid w:val="00BF075C"/>
    <w:rsid w:val="00BF12E6"/>
    <w:rsid w:val="00BF26CF"/>
    <w:rsid w:val="00BF2DBE"/>
    <w:rsid w:val="00BF329D"/>
    <w:rsid w:val="00BF6976"/>
    <w:rsid w:val="00BF7594"/>
    <w:rsid w:val="00C010C3"/>
    <w:rsid w:val="00C01A87"/>
    <w:rsid w:val="00C03A0F"/>
    <w:rsid w:val="00C048B2"/>
    <w:rsid w:val="00C04D2B"/>
    <w:rsid w:val="00C05F9D"/>
    <w:rsid w:val="00C07D5E"/>
    <w:rsid w:val="00C10A55"/>
    <w:rsid w:val="00C12ABA"/>
    <w:rsid w:val="00C13158"/>
    <w:rsid w:val="00C13498"/>
    <w:rsid w:val="00C15320"/>
    <w:rsid w:val="00C15F89"/>
    <w:rsid w:val="00C171B8"/>
    <w:rsid w:val="00C176E6"/>
    <w:rsid w:val="00C20FEC"/>
    <w:rsid w:val="00C21875"/>
    <w:rsid w:val="00C21D15"/>
    <w:rsid w:val="00C227D9"/>
    <w:rsid w:val="00C2514A"/>
    <w:rsid w:val="00C267D6"/>
    <w:rsid w:val="00C3035A"/>
    <w:rsid w:val="00C3154B"/>
    <w:rsid w:val="00C3193E"/>
    <w:rsid w:val="00C35921"/>
    <w:rsid w:val="00C36199"/>
    <w:rsid w:val="00C369F1"/>
    <w:rsid w:val="00C37716"/>
    <w:rsid w:val="00C379DD"/>
    <w:rsid w:val="00C42A59"/>
    <w:rsid w:val="00C42E84"/>
    <w:rsid w:val="00C43A27"/>
    <w:rsid w:val="00C43E13"/>
    <w:rsid w:val="00C501A4"/>
    <w:rsid w:val="00C50640"/>
    <w:rsid w:val="00C50770"/>
    <w:rsid w:val="00C51C57"/>
    <w:rsid w:val="00C52FFF"/>
    <w:rsid w:val="00C54317"/>
    <w:rsid w:val="00C55626"/>
    <w:rsid w:val="00C56020"/>
    <w:rsid w:val="00C5614B"/>
    <w:rsid w:val="00C5682E"/>
    <w:rsid w:val="00C608CA"/>
    <w:rsid w:val="00C6098A"/>
    <w:rsid w:val="00C60CF7"/>
    <w:rsid w:val="00C60FD4"/>
    <w:rsid w:val="00C617D4"/>
    <w:rsid w:val="00C646F7"/>
    <w:rsid w:val="00C6740C"/>
    <w:rsid w:val="00C723B6"/>
    <w:rsid w:val="00C72B15"/>
    <w:rsid w:val="00C72C75"/>
    <w:rsid w:val="00C7647B"/>
    <w:rsid w:val="00C768BB"/>
    <w:rsid w:val="00C81C58"/>
    <w:rsid w:val="00C81D1D"/>
    <w:rsid w:val="00C83A50"/>
    <w:rsid w:val="00C846D5"/>
    <w:rsid w:val="00C84E4F"/>
    <w:rsid w:val="00C851AA"/>
    <w:rsid w:val="00C85A86"/>
    <w:rsid w:val="00C8746C"/>
    <w:rsid w:val="00C87962"/>
    <w:rsid w:val="00C91586"/>
    <w:rsid w:val="00C923B8"/>
    <w:rsid w:val="00C9520C"/>
    <w:rsid w:val="00C962A2"/>
    <w:rsid w:val="00C96CBD"/>
    <w:rsid w:val="00CA093B"/>
    <w:rsid w:val="00CA42FC"/>
    <w:rsid w:val="00CA4779"/>
    <w:rsid w:val="00CA4D8B"/>
    <w:rsid w:val="00CB1B47"/>
    <w:rsid w:val="00CB2C39"/>
    <w:rsid w:val="00CB4370"/>
    <w:rsid w:val="00CB5350"/>
    <w:rsid w:val="00CB5477"/>
    <w:rsid w:val="00CB573A"/>
    <w:rsid w:val="00CB6B1F"/>
    <w:rsid w:val="00CB7D1D"/>
    <w:rsid w:val="00CC005D"/>
    <w:rsid w:val="00CC07F5"/>
    <w:rsid w:val="00CC0821"/>
    <w:rsid w:val="00CC4CEF"/>
    <w:rsid w:val="00CC57BA"/>
    <w:rsid w:val="00CC7C2C"/>
    <w:rsid w:val="00CD000F"/>
    <w:rsid w:val="00CD06D9"/>
    <w:rsid w:val="00CD2205"/>
    <w:rsid w:val="00CD2BE5"/>
    <w:rsid w:val="00CD36C8"/>
    <w:rsid w:val="00CD431C"/>
    <w:rsid w:val="00CD4DD5"/>
    <w:rsid w:val="00CD6D65"/>
    <w:rsid w:val="00CD78D3"/>
    <w:rsid w:val="00CE01C7"/>
    <w:rsid w:val="00CE0B5F"/>
    <w:rsid w:val="00CE14D2"/>
    <w:rsid w:val="00CE1531"/>
    <w:rsid w:val="00CE5F10"/>
    <w:rsid w:val="00CE682B"/>
    <w:rsid w:val="00CE7D82"/>
    <w:rsid w:val="00CF0398"/>
    <w:rsid w:val="00CF049A"/>
    <w:rsid w:val="00CF17A8"/>
    <w:rsid w:val="00CF1C6F"/>
    <w:rsid w:val="00CF2133"/>
    <w:rsid w:val="00CF4516"/>
    <w:rsid w:val="00CF482D"/>
    <w:rsid w:val="00CF52AB"/>
    <w:rsid w:val="00CF60DE"/>
    <w:rsid w:val="00CF64DC"/>
    <w:rsid w:val="00D00270"/>
    <w:rsid w:val="00D00A6E"/>
    <w:rsid w:val="00D0318B"/>
    <w:rsid w:val="00D041D2"/>
    <w:rsid w:val="00D04AAE"/>
    <w:rsid w:val="00D04CA3"/>
    <w:rsid w:val="00D06510"/>
    <w:rsid w:val="00D06692"/>
    <w:rsid w:val="00D06BDD"/>
    <w:rsid w:val="00D06D55"/>
    <w:rsid w:val="00D07499"/>
    <w:rsid w:val="00D10C5D"/>
    <w:rsid w:val="00D10F5F"/>
    <w:rsid w:val="00D11D6D"/>
    <w:rsid w:val="00D11FCC"/>
    <w:rsid w:val="00D139FE"/>
    <w:rsid w:val="00D145A5"/>
    <w:rsid w:val="00D146A9"/>
    <w:rsid w:val="00D15D5F"/>
    <w:rsid w:val="00D17592"/>
    <w:rsid w:val="00D20973"/>
    <w:rsid w:val="00D218CA"/>
    <w:rsid w:val="00D23101"/>
    <w:rsid w:val="00D23193"/>
    <w:rsid w:val="00D24652"/>
    <w:rsid w:val="00D27868"/>
    <w:rsid w:val="00D314EC"/>
    <w:rsid w:val="00D328D8"/>
    <w:rsid w:val="00D33D4A"/>
    <w:rsid w:val="00D37772"/>
    <w:rsid w:val="00D40099"/>
    <w:rsid w:val="00D411B2"/>
    <w:rsid w:val="00D423CB"/>
    <w:rsid w:val="00D4435F"/>
    <w:rsid w:val="00D44EF3"/>
    <w:rsid w:val="00D46A79"/>
    <w:rsid w:val="00D501FE"/>
    <w:rsid w:val="00D5219D"/>
    <w:rsid w:val="00D52ECF"/>
    <w:rsid w:val="00D53ABA"/>
    <w:rsid w:val="00D54FE6"/>
    <w:rsid w:val="00D551B7"/>
    <w:rsid w:val="00D55D02"/>
    <w:rsid w:val="00D56209"/>
    <w:rsid w:val="00D56BA6"/>
    <w:rsid w:val="00D57B33"/>
    <w:rsid w:val="00D61B53"/>
    <w:rsid w:val="00D64AEB"/>
    <w:rsid w:val="00D65CC6"/>
    <w:rsid w:val="00D6703C"/>
    <w:rsid w:val="00D709C7"/>
    <w:rsid w:val="00D70E72"/>
    <w:rsid w:val="00D7300A"/>
    <w:rsid w:val="00D73487"/>
    <w:rsid w:val="00D74B10"/>
    <w:rsid w:val="00D74D3C"/>
    <w:rsid w:val="00D75ACF"/>
    <w:rsid w:val="00D76C8D"/>
    <w:rsid w:val="00D77B43"/>
    <w:rsid w:val="00D80794"/>
    <w:rsid w:val="00D81F62"/>
    <w:rsid w:val="00D82052"/>
    <w:rsid w:val="00D8348E"/>
    <w:rsid w:val="00D8453B"/>
    <w:rsid w:val="00D85233"/>
    <w:rsid w:val="00D8539B"/>
    <w:rsid w:val="00D931B0"/>
    <w:rsid w:val="00D93782"/>
    <w:rsid w:val="00D9462B"/>
    <w:rsid w:val="00D95DBC"/>
    <w:rsid w:val="00D96850"/>
    <w:rsid w:val="00DA284E"/>
    <w:rsid w:val="00DA33DC"/>
    <w:rsid w:val="00DA5386"/>
    <w:rsid w:val="00DA5BDB"/>
    <w:rsid w:val="00DA61D8"/>
    <w:rsid w:val="00DB0965"/>
    <w:rsid w:val="00DB0B6F"/>
    <w:rsid w:val="00DB0EFF"/>
    <w:rsid w:val="00DB10DD"/>
    <w:rsid w:val="00DB2AB3"/>
    <w:rsid w:val="00DB349C"/>
    <w:rsid w:val="00DB58B7"/>
    <w:rsid w:val="00DB6B7F"/>
    <w:rsid w:val="00DB7C0F"/>
    <w:rsid w:val="00DC3867"/>
    <w:rsid w:val="00DC58C3"/>
    <w:rsid w:val="00DC5FE4"/>
    <w:rsid w:val="00DC67E5"/>
    <w:rsid w:val="00DC70A3"/>
    <w:rsid w:val="00DC7257"/>
    <w:rsid w:val="00DD3550"/>
    <w:rsid w:val="00DD668C"/>
    <w:rsid w:val="00DD6726"/>
    <w:rsid w:val="00DE0167"/>
    <w:rsid w:val="00DE56EA"/>
    <w:rsid w:val="00DE6CA8"/>
    <w:rsid w:val="00DE7232"/>
    <w:rsid w:val="00DE7A23"/>
    <w:rsid w:val="00DF2D0C"/>
    <w:rsid w:val="00DF58C3"/>
    <w:rsid w:val="00DF67A0"/>
    <w:rsid w:val="00DF6DB6"/>
    <w:rsid w:val="00DF75B1"/>
    <w:rsid w:val="00E0167A"/>
    <w:rsid w:val="00E016B6"/>
    <w:rsid w:val="00E0754D"/>
    <w:rsid w:val="00E1187F"/>
    <w:rsid w:val="00E1272A"/>
    <w:rsid w:val="00E12FD8"/>
    <w:rsid w:val="00E13467"/>
    <w:rsid w:val="00E13CB8"/>
    <w:rsid w:val="00E1739C"/>
    <w:rsid w:val="00E22382"/>
    <w:rsid w:val="00E224E5"/>
    <w:rsid w:val="00E25D84"/>
    <w:rsid w:val="00E3005F"/>
    <w:rsid w:val="00E3047C"/>
    <w:rsid w:val="00E310D1"/>
    <w:rsid w:val="00E31157"/>
    <w:rsid w:val="00E3146F"/>
    <w:rsid w:val="00E32D54"/>
    <w:rsid w:val="00E33386"/>
    <w:rsid w:val="00E3471C"/>
    <w:rsid w:val="00E364B0"/>
    <w:rsid w:val="00E404DF"/>
    <w:rsid w:val="00E40A13"/>
    <w:rsid w:val="00E41C54"/>
    <w:rsid w:val="00E42C23"/>
    <w:rsid w:val="00E42FAC"/>
    <w:rsid w:val="00E43A11"/>
    <w:rsid w:val="00E46D04"/>
    <w:rsid w:val="00E47167"/>
    <w:rsid w:val="00E47F7D"/>
    <w:rsid w:val="00E50601"/>
    <w:rsid w:val="00E50CA8"/>
    <w:rsid w:val="00E50CC4"/>
    <w:rsid w:val="00E50EF5"/>
    <w:rsid w:val="00E51631"/>
    <w:rsid w:val="00E51D87"/>
    <w:rsid w:val="00E51F81"/>
    <w:rsid w:val="00E52351"/>
    <w:rsid w:val="00E55168"/>
    <w:rsid w:val="00E5541D"/>
    <w:rsid w:val="00E561FC"/>
    <w:rsid w:val="00E56717"/>
    <w:rsid w:val="00E56818"/>
    <w:rsid w:val="00E57577"/>
    <w:rsid w:val="00E64A96"/>
    <w:rsid w:val="00E65F5F"/>
    <w:rsid w:val="00E67A99"/>
    <w:rsid w:val="00E70700"/>
    <w:rsid w:val="00E70B49"/>
    <w:rsid w:val="00E72D74"/>
    <w:rsid w:val="00E7417F"/>
    <w:rsid w:val="00E76798"/>
    <w:rsid w:val="00E8275B"/>
    <w:rsid w:val="00E85EEB"/>
    <w:rsid w:val="00E8790F"/>
    <w:rsid w:val="00E87C43"/>
    <w:rsid w:val="00E87D63"/>
    <w:rsid w:val="00E90274"/>
    <w:rsid w:val="00E920D7"/>
    <w:rsid w:val="00E95513"/>
    <w:rsid w:val="00E96D0F"/>
    <w:rsid w:val="00EA4B30"/>
    <w:rsid w:val="00EA566E"/>
    <w:rsid w:val="00EA65AF"/>
    <w:rsid w:val="00EA6D9E"/>
    <w:rsid w:val="00EB0A6E"/>
    <w:rsid w:val="00EB0F65"/>
    <w:rsid w:val="00EB177C"/>
    <w:rsid w:val="00EB2D02"/>
    <w:rsid w:val="00EB7389"/>
    <w:rsid w:val="00EC0F9C"/>
    <w:rsid w:val="00EC11DF"/>
    <w:rsid w:val="00EC1664"/>
    <w:rsid w:val="00EC2937"/>
    <w:rsid w:val="00EC2949"/>
    <w:rsid w:val="00EC353A"/>
    <w:rsid w:val="00EC532A"/>
    <w:rsid w:val="00EC5495"/>
    <w:rsid w:val="00ED00A1"/>
    <w:rsid w:val="00ED66A0"/>
    <w:rsid w:val="00ED6F0C"/>
    <w:rsid w:val="00EE2FA3"/>
    <w:rsid w:val="00EE3133"/>
    <w:rsid w:val="00EE359D"/>
    <w:rsid w:val="00EE41BD"/>
    <w:rsid w:val="00EE5AC7"/>
    <w:rsid w:val="00EE5C0E"/>
    <w:rsid w:val="00EE758E"/>
    <w:rsid w:val="00EE7794"/>
    <w:rsid w:val="00EF194E"/>
    <w:rsid w:val="00EF477A"/>
    <w:rsid w:val="00EF4D00"/>
    <w:rsid w:val="00EF63BF"/>
    <w:rsid w:val="00EF6A61"/>
    <w:rsid w:val="00EF6B3A"/>
    <w:rsid w:val="00EF7380"/>
    <w:rsid w:val="00EF75A5"/>
    <w:rsid w:val="00EF7EFC"/>
    <w:rsid w:val="00F00725"/>
    <w:rsid w:val="00F0276A"/>
    <w:rsid w:val="00F02C97"/>
    <w:rsid w:val="00F04090"/>
    <w:rsid w:val="00F053D1"/>
    <w:rsid w:val="00F06B99"/>
    <w:rsid w:val="00F06BE5"/>
    <w:rsid w:val="00F074E9"/>
    <w:rsid w:val="00F14C32"/>
    <w:rsid w:val="00F15167"/>
    <w:rsid w:val="00F15EBF"/>
    <w:rsid w:val="00F16907"/>
    <w:rsid w:val="00F177EE"/>
    <w:rsid w:val="00F20875"/>
    <w:rsid w:val="00F21BB6"/>
    <w:rsid w:val="00F21CE9"/>
    <w:rsid w:val="00F22BCA"/>
    <w:rsid w:val="00F27703"/>
    <w:rsid w:val="00F27A5E"/>
    <w:rsid w:val="00F27BEF"/>
    <w:rsid w:val="00F314C1"/>
    <w:rsid w:val="00F33B35"/>
    <w:rsid w:val="00F34259"/>
    <w:rsid w:val="00F356E7"/>
    <w:rsid w:val="00F3715A"/>
    <w:rsid w:val="00F407BB"/>
    <w:rsid w:val="00F408DC"/>
    <w:rsid w:val="00F41D27"/>
    <w:rsid w:val="00F42651"/>
    <w:rsid w:val="00F467A5"/>
    <w:rsid w:val="00F472B3"/>
    <w:rsid w:val="00F47E53"/>
    <w:rsid w:val="00F47FAF"/>
    <w:rsid w:val="00F50401"/>
    <w:rsid w:val="00F5166E"/>
    <w:rsid w:val="00F5288D"/>
    <w:rsid w:val="00F5295F"/>
    <w:rsid w:val="00F52AAE"/>
    <w:rsid w:val="00F54010"/>
    <w:rsid w:val="00F54F63"/>
    <w:rsid w:val="00F54FF0"/>
    <w:rsid w:val="00F554CF"/>
    <w:rsid w:val="00F569F3"/>
    <w:rsid w:val="00F57184"/>
    <w:rsid w:val="00F57562"/>
    <w:rsid w:val="00F60D09"/>
    <w:rsid w:val="00F61068"/>
    <w:rsid w:val="00F613D3"/>
    <w:rsid w:val="00F63C21"/>
    <w:rsid w:val="00F65EA6"/>
    <w:rsid w:val="00F70136"/>
    <w:rsid w:val="00F72110"/>
    <w:rsid w:val="00F72967"/>
    <w:rsid w:val="00F72EEF"/>
    <w:rsid w:val="00F73A9B"/>
    <w:rsid w:val="00F75027"/>
    <w:rsid w:val="00F75510"/>
    <w:rsid w:val="00F80C53"/>
    <w:rsid w:val="00F8348A"/>
    <w:rsid w:val="00F84496"/>
    <w:rsid w:val="00F85E0D"/>
    <w:rsid w:val="00F87EDC"/>
    <w:rsid w:val="00F90542"/>
    <w:rsid w:val="00F92310"/>
    <w:rsid w:val="00F944B8"/>
    <w:rsid w:val="00F94BDB"/>
    <w:rsid w:val="00F94EF6"/>
    <w:rsid w:val="00F96909"/>
    <w:rsid w:val="00FA00B6"/>
    <w:rsid w:val="00FA02D3"/>
    <w:rsid w:val="00FA04A9"/>
    <w:rsid w:val="00FA1414"/>
    <w:rsid w:val="00FA303B"/>
    <w:rsid w:val="00FA450D"/>
    <w:rsid w:val="00FA47FA"/>
    <w:rsid w:val="00FA6F64"/>
    <w:rsid w:val="00FB0353"/>
    <w:rsid w:val="00FB0917"/>
    <w:rsid w:val="00FB1188"/>
    <w:rsid w:val="00FB1B5C"/>
    <w:rsid w:val="00FB31C3"/>
    <w:rsid w:val="00FB3B90"/>
    <w:rsid w:val="00FB57EE"/>
    <w:rsid w:val="00FB5F42"/>
    <w:rsid w:val="00FB6B94"/>
    <w:rsid w:val="00FB6F2A"/>
    <w:rsid w:val="00FC034E"/>
    <w:rsid w:val="00FC2BEE"/>
    <w:rsid w:val="00FC402D"/>
    <w:rsid w:val="00FC4E90"/>
    <w:rsid w:val="00FC6C76"/>
    <w:rsid w:val="00FC7729"/>
    <w:rsid w:val="00FD2E33"/>
    <w:rsid w:val="00FD353C"/>
    <w:rsid w:val="00FD6186"/>
    <w:rsid w:val="00FD62F2"/>
    <w:rsid w:val="00FD692C"/>
    <w:rsid w:val="00FE5A2F"/>
    <w:rsid w:val="00FF0D2E"/>
    <w:rsid w:val="00FF1616"/>
    <w:rsid w:val="00FF220C"/>
    <w:rsid w:val="00FF2F33"/>
    <w:rsid w:val="00FF3278"/>
    <w:rsid w:val="00FF54F8"/>
    <w:rsid w:val="00FF5F35"/>
    <w:rsid w:val="00FF6615"/>
    <w:rsid w:val="00FF75D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B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index heading" w:uiPriority="0"/>
    <w:lsdException w:name="caption" w:uiPriority="35" w:qFormat="1"/>
    <w:lsdException w:name="envelope address" w:uiPriority="0"/>
    <w:lsdException w:name="envelope return" w:uiPriority="0"/>
    <w:lsdException w:name="annotation reference" w:uiPriority="0"/>
    <w:lsdException w:name="line number" w:uiPriority="0"/>
    <w:lsdException w:name="page number" w:uiPriority="0"/>
    <w:lsdException w:name="endnote reference" w:uiPriority="0"/>
    <w:lsdException w:name="endnote text" w:uiPriority="0"/>
    <w:lsdException w:name="macro" w:uiPriority="0"/>
    <w:lsdException w:name="toa heading"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Title" w:semiHidden="0" w:uiPriority="10" w:unhideWhenUsed="0"/>
    <w:lsdException w:name="Default Paragraph Font" w:uiPriority="1"/>
    <w:lsdException w:name="Message Header" w:uiPriority="0"/>
    <w:lsdException w:name="Subtitle" w:uiPriority="0" w:unhideWhenUsed="0" w:qFormat="1"/>
    <w:lsdException w:name="FollowedHyperlink" w:uiPriority="0"/>
    <w:lsdException w:name="Strong" w:semiHidden="0" w:uiPriority="22" w:unhideWhenUsed="0"/>
    <w:lsdException w:name="Emphasis" w:semiHidden="0" w:uiPriority="20" w:unhideWhenUsed="0"/>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C151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87435"/>
    <w:pPr>
      <w:keepNext/>
      <w:pageBreakBefore/>
      <w:numPr>
        <w:numId w:val="9"/>
      </w:numPr>
      <w:tabs>
        <w:tab w:val="clear" w:pos="1152"/>
      </w:tabs>
      <w:spacing w:after="120"/>
      <w:ind w:left="547" w:hanging="547"/>
      <w:outlineLvl w:val="0"/>
    </w:pPr>
    <w:rPr>
      <w:rFonts w:cs="Arial"/>
      <w:b/>
      <w:bCs/>
      <w:caps/>
      <w:kern w:val="32"/>
      <w:sz w:val="28"/>
      <w:szCs w:val="28"/>
    </w:rPr>
  </w:style>
  <w:style w:type="paragraph" w:styleId="Heading2">
    <w:name w:val="heading 2"/>
    <w:basedOn w:val="Normal"/>
    <w:next w:val="Normal"/>
    <w:link w:val="Heading2Char"/>
    <w:qFormat/>
    <w:rsid w:val="00A27E33"/>
    <w:pPr>
      <w:keepNext/>
      <w:numPr>
        <w:ilvl w:val="1"/>
        <w:numId w:val="9"/>
      </w:numPr>
      <w:tabs>
        <w:tab w:val="clear" w:pos="666"/>
      </w:tabs>
      <w:spacing w:before="120" w:after="60"/>
      <w:ind w:left="630" w:hanging="630"/>
      <w:outlineLvl w:val="1"/>
    </w:pPr>
    <w:rPr>
      <w:rFonts w:cs="Arial"/>
      <w:b/>
      <w:sz w:val="26"/>
      <w:szCs w:val="26"/>
    </w:rPr>
  </w:style>
  <w:style w:type="paragraph" w:styleId="Heading3">
    <w:name w:val="heading 3"/>
    <w:basedOn w:val="Normal"/>
    <w:next w:val="Normal"/>
    <w:link w:val="Heading3Char"/>
    <w:qFormat/>
    <w:rsid w:val="00BB4D78"/>
    <w:pPr>
      <w:keepNext/>
      <w:numPr>
        <w:ilvl w:val="2"/>
        <w:numId w:val="9"/>
      </w:numPr>
      <w:spacing w:before="120" w:after="60"/>
      <w:outlineLvl w:val="2"/>
    </w:pPr>
    <w:rPr>
      <w:rFonts w:cs="Arial"/>
      <w:b/>
      <w:bCs/>
      <w:i/>
      <w:szCs w:val="22"/>
    </w:rPr>
  </w:style>
  <w:style w:type="paragraph" w:styleId="Heading4">
    <w:name w:val="heading 4"/>
    <w:basedOn w:val="Normal"/>
    <w:next w:val="Normal"/>
    <w:link w:val="Heading4Char"/>
    <w:qFormat/>
    <w:rsid w:val="00BB4D78"/>
    <w:pPr>
      <w:keepNext/>
      <w:numPr>
        <w:ilvl w:val="3"/>
        <w:numId w:val="9"/>
      </w:numPr>
      <w:spacing w:before="120" w:after="60"/>
      <w:outlineLvl w:val="3"/>
    </w:pPr>
    <w:rPr>
      <w:b/>
      <w:bCs/>
      <w:szCs w:val="22"/>
    </w:rPr>
  </w:style>
  <w:style w:type="paragraph" w:styleId="Heading5">
    <w:name w:val="heading 5"/>
    <w:basedOn w:val="Normal"/>
    <w:next w:val="Normal"/>
    <w:link w:val="Heading5Char"/>
    <w:qFormat/>
    <w:rsid w:val="00BB4D78"/>
    <w:pPr>
      <w:keepNext/>
      <w:numPr>
        <w:ilvl w:val="4"/>
        <w:numId w:val="9"/>
      </w:numPr>
      <w:outlineLvl w:val="4"/>
    </w:pPr>
    <w:rPr>
      <w:bCs/>
    </w:rPr>
  </w:style>
  <w:style w:type="paragraph" w:styleId="Heading6">
    <w:name w:val="heading 6"/>
    <w:basedOn w:val="Normal"/>
    <w:next w:val="Normal"/>
    <w:link w:val="Heading6Char"/>
    <w:qFormat/>
    <w:rsid w:val="00BB4D78"/>
    <w:pPr>
      <w:keepNext/>
      <w:numPr>
        <w:ilvl w:val="5"/>
        <w:numId w:val="9"/>
      </w:numPr>
      <w:outlineLvl w:val="5"/>
    </w:pPr>
    <w:rPr>
      <w:rFonts w:eastAsia="Arial Unicode MS" w:cs="Arial"/>
      <w:bCs/>
      <w:i/>
      <w:iCs/>
      <w:szCs w:val="20"/>
    </w:rPr>
  </w:style>
  <w:style w:type="paragraph" w:styleId="Heading7">
    <w:name w:val="heading 7"/>
    <w:basedOn w:val="Normal"/>
    <w:next w:val="Normal"/>
    <w:link w:val="Heading7Char"/>
    <w:qFormat/>
    <w:rsid w:val="00BB4D78"/>
    <w:pPr>
      <w:numPr>
        <w:ilvl w:val="6"/>
        <w:numId w:val="9"/>
      </w:numPr>
      <w:spacing w:before="240" w:after="60"/>
      <w:outlineLvl w:val="6"/>
    </w:pPr>
    <w:rPr>
      <w:i/>
    </w:rPr>
  </w:style>
  <w:style w:type="paragraph" w:styleId="Heading8">
    <w:name w:val="heading 8"/>
    <w:basedOn w:val="Normal"/>
    <w:next w:val="Normal"/>
    <w:link w:val="Heading8Char"/>
    <w:qFormat/>
    <w:rsid w:val="00BB4D78"/>
    <w:pPr>
      <w:numPr>
        <w:ilvl w:val="7"/>
        <w:numId w:val="9"/>
      </w:numPr>
      <w:spacing w:before="240" w:after="60"/>
      <w:outlineLvl w:val="7"/>
    </w:pPr>
    <w:rPr>
      <w:i/>
      <w:iCs/>
    </w:rPr>
  </w:style>
  <w:style w:type="paragraph" w:styleId="Heading9">
    <w:name w:val="heading 9"/>
    <w:basedOn w:val="Normal"/>
    <w:next w:val="Normal"/>
    <w:link w:val="Heading9Char"/>
    <w:qFormat/>
    <w:rsid w:val="00BB4D78"/>
    <w:pPr>
      <w:numPr>
        <w:ilvl w:val="8"/>
        <w:numId w:val="9"/>
      </w:numPr>
      <w:spacing w:before="24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next w:val="Normal"/>
    <w:rsid w:val="00BB4D78"/>
    <w:pPr>
      <w:numPr>
        <w:numId w:val="7"/>
      </w:numPr>
    </w:pPr>
  </w:style>
  <w:style w:type="numbering" w:customStyle="1" w:styleId="BulletStyle">
    <w:name w:val="BulletStyle"/>
    <w:basedOn w:val="NoList"/>
    <w:uiPriority w:val="99"/>
    <w:rsid w:val="00BB4D78"/>
    <w:pPr>
      <w:numPr>
        <w:numId w:val="8"/>
      </w:numPr>
    </w:pPr>
  </w:style>
  <w:style w:type="character" w:customStyle="1" w:styleId="CaptionChar">
    <w:name w:val="Caption Char"/>
    <w:aliases w:val="Char Char"/>
    <w:basedOn w:val="DefaultParagraphFont"/>
    <w:link w:val="Caption"/>
    <w:uiPriority w:val="35"/>
    <w:rsid w:val="00BB4D78"/>
    <w:rPr>
      <w:rFonts w:ascii="Times New Roman" w:eastAsia="Times New Roman" w:hAnsi="Times New Roman" w:cs="Times New Roman"/>
      <w:b/>
      <w:bCs/>
      <w:sz w:val="20"/>
      <w:szCs w:val="20"/>
    </w:rPr>
  </w:style>
  <w:style w:type="paragraph" w:customStyle="1" w:styleId="FinePrint">
    <w:name w:val="FinePrint"/>
    <w:basedOn w:val="Normal"/>
    <w:rsid w:val="00BB4D78"/>
    <w:rPr>
      <w:sz w:val="16"/>
    </w:rPr>
  </w:style>
  <w:style w:type="paragraph" w:customStyle="1" w:styleId="FinePrintBOLD">
    <w:name w:val="FinePrintBOLD"/>
    <w:basedOn w:val="FinePrint"/>
    <w:rsid w:val="00BB4D78"/>
    <w:pPr>
      <w:jc w:val="center"/>
    </w:pPr>
    <w:rPr>
      <w:b/>
    </w:rPr>
  </w:style>
  <w:style w:type="paragraph" w:customStyle="1" w:styleId="IndentedItalics">
    <w:name w:val="IndentedItalics"/>
    <w:basedOn w:val="Normal"/>
    <w:rsid w:val="00BB4D78"/>
    <w:pPr>
      <w:ind w:left="720"/>
    </w:pPr>
    <w:rPr>
      <w:i/>
      <w:sz w:val="22"/>
    </w:rPr>
  </w:style>
  <w:style w:type="paragraph" w:customStyle="1" w:styleId="List1">
    <w:name w:val="List 1"/>
    <w:basedOn w:val="Normal"/>
    <w:rsid w:val="00BB4D78"/>
    <w:pPr>
      <w:numPr>
        <w:numId w:val="10"/>
      </w:numPr>
    </w:pPr>
    <w:rPr>
      <w:sz w:val="22"/>
    </w:rPr>
  </w:style>
  <w:style w:type="numbering" w:customStyle="1" w:styleId="LL-Num">
    <w:name w:val="LL-Num"/>
    <w:basedOn w:val="NoList"/>
    <w:uiPriority w:val="99"/>
    <w:rsid w:val="00BB4D78"/>
    <w:pPr>
      <w:numPr>
        <w:numId w:val="11"/>
      </w:numPr>
    </w:pPr>
  </w:style>
  <w:style w:type="paragraph" w:customStyle="1" w:styleId="Guidance-Font">
    <w:name w:val="Guidance-Font"/>
    <w:basedOn w:val="Normal"/>
    <w:qFormat/>
    <w:rsid w:val="00BB4D78"/>
    <w:rPr>
      <w:i/>
      <w:color w:val="548DD4" w:themeColor="text2" w:themeTint="99"/>
    </w:rPr>
  </w:style>
  <w:style w:type="numbering" w:customStyle="1" w:styleId="RDListBullets">
    <w:name w:val="RD_ListBullets"/>
    <w:uiPriority w:val="99"/>
    <w:rsid w:val="00BB4D78"/>
    <w:pPr>
      <w:numPr>
        <w:numId w:val="12"/>
      </w:numPr>
    </w:pPr>
  </w:style>
  <w:style w:type="paragraph" w:customStyle="1" w:styleId="subtitle2">
    <w:name w:val="subtitle2"/>
    <w:basedOn w:val="Subtitle"/>
    <w:rsid w:val="00BB4D78"/>
    <w:rPr>
      <w:b w:val="0"/>
      <w:sz w:val="28"/>
    </w:rPr>
  </w:style>
  <w:style w:type="paragraph" w:customStyle="1" w:styleId="subtitle3">
    <w:name w:val="subtitle3"/>
    <w:basedOn w:val="Normal"/>
    <w:rsid w:val="00BB4D78"/>
    <w:pPr>
      <w:jc w:val="center"/>
    </w:pPr>
    <w:rPr>
      <w:b/>
      <w:i/>
      <w:sz w:val="28"/>
    </w:rPr>
  </w:style>
  <w:style w:type="paragraph" w:customStyle="1" w:styleId="TableText">
    <w:name w:val="Table Text"/>
    <w:basedOn w:val="Normal"/>
    <w:link w:val="TableTextChar"/>
    <w:rsid w:val="00BB4D78"/>
    <w:pPr>
      <w:keepLines/>
      <w:spacing w:before="20" w:after="20"/>
    </w:pPr>
    <w:rPr>
      <w:rFonts w:cs="Arial"/>
      <w:bCs/>
      <w:iCs/>
      <w:sz w:val="20"/>
      <w:szCs w:val="20"/>
    </w:rPr>
  </w:style>
  <w:style w:type="character" w:customStyle="1" w:styleId="TableTextChar">
    <w:name w:val="Table Text Char"/>
    <w:basedOn w:val="DefaultParagraphFont"/>
    <w:link w:val="TableText"/>
    <w:rsid w:val="00BB4D78"/>
    <w:rPr>
      <w:rFonts w:ascii="Times New Roman" w:eastAsia="Times New Roman" w:hAnsi="Times New Roman" w:cs="Arial"/>
      <w:bCs/>
      <w:iCs/>
      <w:sz w:val="20"/>
      <w:szCs w:val="20"/>
    </w:rPr>
  </w:style>
  <w:style w:type="paragraph" w:customStyle="1" w:styleId="TableTitleRow">
    <w:name w:val="Table Title Row"/>
    <w:basedOn w:val="TableText"/>
    <w:rsid w:val="00BB4D78"/>
    <w:pPr>
      <w:jc w:val="center"/>
    </w:pPr>
    <w:rPr>
      <w:b/>
    </w:rPr>
  </w:style>
  <w:style w:type="paragraph" w:customStyle="1" w:styleId="TOCHEADER">
    <w:name w:val="TOC HEADER"/>
    <w:basedOn w:val="Normal"/>
    <w:rsid w:val="00BB4D78"/>
    <w:pPr>
      <w:jc w:val="center"/>
    </w:pPr>
    <w:rPr>
      <w:b/>
      <w:sz w:val="32"/>
    </w:rPr>
  </w:style>
  <w:style w:type="paragraph" w:customStyle="1" w:styleId="VBCode">
    <w:name w:val="VB_Code"/>
    <w:basedOn w:val="Normal"/>
    <w:rsid w:val="00BB4D78"/>
    <w:rPr>
      <w:rFonts w:ascii="Courier" w:hAnsi="Courier"/>
      <w:sz w:val="16"/>
    </w:rPr>
  </w:style>
  <w:style w:type="paragraph" w:styleId="Caption">
    <w:name w:val="caption"/>
    <w:aliases w:val="Char"/>
    <w:basedOn w:val="Normal"/>
    <w:next w:val="Normal"/>
    <w:link w:val="CaptionChar"/>
    <w:uiPriority w:val="35"/>
    <w:qFormat/>
    <w:rsid w:val="00BB4D78"/>
    <w:pPr>
      <w:spacing w:before="120" w:after="120"/>
      <w:jc w:val="center"/>
    </w:pPr>
    <w:rPr>
      <w:b/>
      <w:bCs/>
      <w:sz w:val="20"/>
      <w:szCs w:val="20"/>
    </w:rPr>
  </w:style>
  <w:style w:type="paragraph" w:styleId="Header">
    <w:name w:val="header"/>
    <w:basedOn w:val="Normal"/>
    <w:link w:val="HeaderChar"/>
    <w:rsid w:val="00BB4D78"/>
    <w:pPr>
      <w:tabs>
        <w:tab w:val="center" w:pos="4320"/>
        <w:tab w:val="right" w:pos="8640"/>
      </w:tabs>
    </w:pPr>
  </w:style>
  <w:style w:type="character" w:customStyle="1" w:styleId="HeaderChar">
    <w:name w:val="Header Char"/>
    <w:basedOn w:val="DefaultParagraphFont"/>
    <w:link w:val="Header"/>
    <w:rsid w:val="007002BE"/>
    <w:rPr>
      <w:rFonts w:ascii="Times New Roman" w:eastAsia="Times New Roman" w:hAnsi="Times New Roman" w:cs="Times New Roman"/>
      <w:sz w:val="24"/>
      <w:szCs w:val="24"/>
    </w:rPr>
  </w:style>
  <w:style w:type="paragraph" w:styleId="Footer">
    <w:name w:val="footer"/>
    <w:basedOn w:val="Normal"/>
    <w:link w:val="FooterChar"/>
    <w:uiPriority w:val="99"/>
    <w:rsid w:val="00BB4D78"/>
    <w:pPr>
      <w:tabs>
        <w:tab w:val="center" w:pos="4320"/>
        <w:tab w:val="right" w:pos="8640"/>
      </w:tabs>
    </w:pPr>
  </w:style>
  <w:style w:type="character" w:customStyle="1" w:styleId="FooterChar">
    <w:name w:val="Footer Char"/>
    <w:basedOn w:val="DefaultParagraphFont"/>
    <w:link w:val="Footer"/>
    <w:uiPriority w:val="99"/>
    <w:rsid w:val="00BE26DA"/>
    <w:rPr>
      <w:rFonts w:ascii="Times New Roman" w:eastAsia="Times New Roman" w:hAnsi="Times New Roman" w:cs="Times New Roman"/>
      <w:sz w:val="24"/>
      <w:szCs w:val="24"/>
    </w:rPr>
  </w:style>
  <w:style w:type="character" w:styleId="FootnoteReference">
    <w:name w:val="footnote reference"/>
    <w:basedOn w:val="DefaultParagraphFont"/>
    <w:uiPriority w:val="99"/>
    <w:rsid w:val="00BB4D78"/>
    <w:rPr>
      <w:vertAlign w:val="superscript"/>
    </w:rPr>
  </w:style>
  <w:style w:type="paragraph" w:styleId="FootnoteText">
    <w:name w:val="footnote text"/>
    <w:basedOn w:val="Normal"/>
    <w:link w:val="FootnoteTextChar"/>
    <w:uiPriority w:val="99"/>
    <w:rsid w:val="00BB4D78"/>
    <w:rPr>
      <w:sz w:val="18"/>
      <w:szCs w:val="20"/>
    </w:rPr>
  </w:style>
  <w:style w:type="character" w:customStyle="1" w:styleId="FootnoteTextChar">
    <w:name w:val="Footnote Text Char"/>
    <w:basedOn w:val="DefaultParagraphFont"/>
    <w:link w:val="FootnoteText"/>
    <w:uiPriority w:val="99"/>
    <w:rsid w:val="00FC2BEE"/>
    <w:rPr>
      <w:rFonts w:ascii="Times New Roman" w:eastAsia="Times New Roman" w:hAnsi="Times New Roman" w:cs="Times New Roman"/>
      <w:sz w:val="18"/>
      <w:szCs w:val="20"/>
    </w:rPr>
  </w:style>
  <w:style w:type="character" w:customStyle="1" w:styleId="Heading1Char">
    <w:name w:val="Heading 1 Char"/>
    <w:basedOn w:val="DefaultParagraphFont"/>
    <w:link w:val="Heading1"/>
    <w:rsid w:val="00987435"/>
    <w:rPr>
      <w:rFonts w:ascii="Times New Roman" w:eastAsia="Times New Roman" w:hAnsi="Times New Roman" w:cs="Arial"/>
      <w:b/>
      <w:bCs/>
      <w:caps/>
      <w:kern w:val="32"/>
      <w:sz w:val="28"/>
      <w:szCs w:val="28"/>
    </w:rPr>
  </w:style>
  <w:style w:type="character" w:customStyle="1" w:styleId="Heading2Char">
    <w:name w:val="Heading 2 Char"/>
    <w:basedOn w:val="DefaultParagraphFont"/>
    <w:link w:val="Heading2"/>
    <w:rsid w:val="00A27E33"/>
    <w:rPr>
      <w:rFonts w:ascii="Times New Roman" w:eastAsia="Times New Roman" w:hAnsi="Times New Roman" w:cs="Arial"/>
      <w:b/>
      <w:sz w:val="26"/>
      <w:szCs w:val="26"/>
    </w:rPr>
  </w:style>
  <w:style w:type="character" w:customStyle="1" w:styleId="Heading3Char">
    <w:name w:val="Heading 3 Char"/>
    <w:basedOn w:val="DefaultParagraphFont"/>
    <w:link w:val="Heading3"/>
    <w:rsid w:val="00BE26DA"/>
    <w:rPr>
      <w:rFonts w:ascii="Times New Roman" w:eastAsia="Times New Roman" w:hAnsi="Times New Roman" w:cs="Arial"/>
      <w:b/>
      <w:bCs/>
      <w:i/>
      <w:sz w:val="24"/>
    </w:rPr>
  </w:style>
  <w:style w:type="character" w:customStyle="1" w:styleId="Heading4Char">
    <w:name w:val="Heading 4 Char"/>
    <w:basedOn w:val="DefaultParagraphFont"/>
    <w:link w:val="Heading4"/>
    <w:rsid w:val="00BE26DA"/>
    <w:rPr>
      <w:rFonts w:ascii="Times New Roman" w:eastAsia="Times New Roman" w:hAnsi="Times New Roman" w:cs="Times New Roman"/>
      <w:b/>
      <w:bCs/>
      <w:sz w:val="24"/>
    </w:rPr>
  </w:style>
  <w:style w:type="character" w:customStyle="1" w:styleId="Heading5Char">
    <w:name w:val="Heading 5 Char"/>
    <w:basedOn w:val="DefaultParagraphFont"/>
    <w:link w:val="Heading5"/>
    <w:rsid w:val="00BE26DA"/>
    <w:rPr>
      <w:rFonts w:ascii="Times New Roman" w:eastAsia="Times New Roman" w:hAnsi="Times New Roman" w:cs="Times New Roman"/>
      <w:bCs/>
      <w:sz w:val="24"/>
      <w:szCs w:val="24"/>
    </w:rPr>
  </w:style>
  <w:style w:type="character" w:styleId="PageNumber">
    <w:name w:val="page number"/>
    <w:basedOn w:val="DefaultParagraphFont"/>
    <w:rsid w:val="00BB4D78"/>
  </w:style>
  <w:style w:type="paragraph" w:styleId="TOC1">
    <w:name w:val="toc 1"/>
    <w:basedOn w:val="Normal"/>
    <w:next w:val="Normal"/>
    <w:autoRedefine/>
    <w:uiPriority w:val="39"/>
    <w:rsid w:val="00BB4D78"/>
    <w:pPr>
      <w:tabs>
        <w:tab w:val="left" w:pos="561"/>
        <w:tab w:val="right" w:leader="underscore" w:pos="9350"/>
      </w:tabs>
      <w:spacing w:before="120"/>
    </w:pPr>
    <w:rPr>
      <w:b/>
      <w:bCs/>
      <w:i/>
      <w:iCs/>
      <w:szCs w:val="28"/>
    </w:rPr>
  </w:style>
  <w:style w:type="paragraph" w:styleId="TOC2">
    <w:name w:val="toc 2"/>
    <w:basedOn w:val="Normal"/>
    <w:next w:val="Normal"/>
    <w:autoRedefine/>
    <w:uiPriority w:val="39"/>
    <w:rsid w:val="00BB4D78"/>
    <w:pPr>
      <w:ind w:left="245"/>
    </w:pPr>
    <w:rPr>
      <w:bCs/>
      <w:szCs w:val="26"/>
    </w:rPr>
  </w:style>
  <w:style w:type="paragraph" w:styleId="TOC3">
    <w:name w:val="toc 3"/>
    <w:basedOn w:val="Normal"/>
    <w:next w:val="Normal"/>
    <w:autoRedefine/>
    <w:uiPriority w:val="39"/>
    <w:rsid w:val="00BB4D78"/>
    <w:pPr>
      <w:ind w:left="480"/>
    </w:pPr>
  </w:style>
  <w:style w:type="paragraph" w:styleId="TOC4">
    <w:name w:val="toc 4"/>
    <w:basedOn w:val="Normal"/>
    <w:next w:val="Normal"/>
    <w:autoRedefine/>
    <w:rsid w:val="00BB4D78"/>
    <w:pPr>
      <w:ind w:left="720"/>
    </w:pPr>
  </w:style>
  <w:style w:type="paragraph" w:styleId="TOC5">
    <w:name w:val="toc 5"/>
    <w:basedOn w:val="Normal"/>
    <w:next w:val="Normal"/>
    <w:autoRedefine/>
    <w:rsid w:val="00BB4D78"/>
    <w:pPr>
      <w:ind w:left="960"/>
    </w:pPr>
  </w:style>
  <w:style w:type="paragraph" w:styleId="TOC6">
    <w:name w:val="toc 6"/>
    <w:basedOn w:val="Normal"/>
    <w:next w:val="Normal"/>
    <w:autoRedefine/>
    <w:rsid w:val="00BB4D78"/>
    <w:pPr>
      <w:ind w:left="1200"/>
    </w:pPr>
  </w:style>
  <w:style w:type="paragraph" w:styleId="TOC7">
    <w:name w:val="toc 7"/>
    <w:basedOn w:val="Normal"/>
    <w:next w:val="Normal"/>
    <w:autoRedefine/>
    <w:rsid w:val="00BB4D78"/>
    <w:pPr>
      <w:ind w:left="1440"/>
    </w:pPr>
  </w:style>
  <w:style w:type="paragraph" w:styleId="TOC8">
    <w:name w:val="toc 8"/>
    <w:basedOn w:val="Normal"/>
    <w:next w:val="Normal"/>
    <w:autoRedefine/>
    <w:rsid w:val="00BB4D78"/>
    <w:pPr>
      <w:ind w:left="1680"/>
    </w:pPr>
  </w:style>
  <w:style w:type="paragraph" w:styleId="TOC9">
    <w:name w:val="toc 9"/>
    <w:basedOn w:val="Normal"/>
    <w:next w:val="Normal"/>
    <w:autoRedefine/>
    <w:rsid w:val="00BB4D78"/>
    <w:pPr>
      <w:ind w:left="1920"/>
    </w:pPr>
  </w:style>
  <w:style w:type="character" w:customStyle="1" w:styleId="Heading6Char">
    <w:name w:val="Heading 6 Char"/>
    <w:basedOn w:val="DefaultParagraphFont"/>
    <w:link w:val="Heading6"/>
    <w:rsid w:val="00BE26DA"/>
    <w:rPr>
      <w:rFonts w:ascii="Times New Roman" w:eastAsia="Arial Unicode MS" w:hAnsi="Times New Roman" w:cs="Arial"/>
      <w:bCs/>
      <w:i/>
      <w:iCs/>
      <w:sz w:val="24"/>
      <w:szCs w:val="20"/>
    </w:rPr>
  </w:style>
  <w:style w:type="character" w:customStyle="1" w:styleId="Heading7Char">
    <w:name w:val="Heading 7 Char"/>
    <w:basedOn w:val="DefaultParagraphFont"/>
    <w:link w:val="Heading7"/>
    <w:rsid w:val="00BE26DA"/>
    <w:rPr>
      <w:rFonts w:ascii="Times New Roman" w:eastAsia="Times New Roman" w:hAnsi="Times New Roman" w:cs="Times New Roman"/>
      <w:i/>
      <w:sz w:val="24"/>
      <w:szCs w:val="24"/>
    </w:rPr>
  </w:style>
  <w:style w:type="character" w:customStyle="1" w:styleId="Heading8Char">
    <w:name w:val="Heading 8 Char"/>
    <w:basedOn w:val="DefaultParagraphFont"/>
    <w:link w:val="Heading8"/>
    <w:rsid w:val="00BE26D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E26DA"/>
    <w:rPr>
      <w:rFonts w:ascii="Arial" w:eastAsia="Times New Roman" w:hAnsi="Arial" w:cs="Arial"/>
      <w:i/>
    </w:rPr>
  </w:style>
  <w:style w:type="character" w:styleId="FollowedHyperlink">
    <w:name w:val="FollowedHyperlink"/>
    <w:basedOn w:val="DefaultParagraphFont"/>
    <w:rsid w:val="00BB4D78"/>
    <w:rPr>
      <w:color w:val="800080"/>
      <w:u w:val="single"/>
    </w:rPr>
  </w:style>
  <w:style w:type="character" w:styleId="Hyperlink">
    <w:name w:val="Hyperlink"/>
    <w:basedOn w:val="DefaultParagraphFont"/>
    <w:uiPriority w:val="99"/>
    <w:rsid w:val="00BB4D78"/>
    <w:rPr>
      <w:color w:val="0000FF"/>
      <w:u w:val="single"/>
    </w:rPr>
  </w:style>
  <w:style w:type="paragraph" w:styleId="List">
    <w:name w:val="List"/>
    <w:basedOn w:val="Normal"/>
    <w:uiPriority w:val="99"/>
    <w:unhideWhenUsed/>
    <w:rsid w:val="00BE26DA"/>
    <w:pPr>
      <w:ind w:left="360" w:hanging="360"/>
      <w:contextualSpacing/>
    </w:pPr>
  </w:style>
  <w:style w:type="paragraph" w:styleId="List2">
    <w:name w:val="List 2"/>
    <w:basedOn w:val="Normal"/>
    <w:rsid w:val="00BB4D78"/>
    <w:pPr>
      <w:numPr>
        <w:ilvl w:val="1"/>
        <w:numId w:val="10"/>
      </w:numPr>
      <w:contextualSpacing/>
    </w:pPr>
    <w:rPr>
      <w:sz w:val="22"/>
    </w:rPr>
  </w:style>
  <w:style w:type="paragraph" w:styleId="List3">
    <w:name w:val="List 3"/>
    <w:basedOn w:val="Normal"/>
    <w:rsid w:val="00BB4D78"/>
    <w:pPr>
      <w:numPr>
        <w:ilvl w:val="2"/>
        <w:numId w:val="10"/>
      </w:numPr>
      <w:contextualSpacing/>
    </w:pPr>
    <w:rPr>
      <w:sz w:val="22"/>
    </w:rPr>
  </w:style>
  <w:style w:type="paragraph" w:styleId="List4">
    <w:name w:val="List 4"/>
    <w:basedOn w:val="Normal"/>
    <w:rsid w:val="00BB4D78"/>
    <w:pPr>
      <w:numPr>
        <w:ilvl w:val="3"/>
        <w:numId w:val="10"/>
      </w:numPr>
      <w:contextualSpacing/>
    </w:pPr>
    <w:rPr>
      <w:sz w:val="22"/>
    </w:rPr>
  </w:style>
  <w:style w:type="paragraph" w:styleId="List5">
    <w:name w:val="List 5"/>
    <w:basedOn w:val="Normal"/>
    <w:rsid w:val="00BB4D78"/>
    <w:pPr>
      <w:numPr>
        <w:ilvl w:val="4"/>
        <w:numId w:val="10"/>
      </w:numPr>
      <w:contextualSpacing/>
    </w:pPr>
    <w:rPr>
      <w:sz w:val="22"/>
    </w:rPr>
  </w:style>
  <w:style w:type="paragraph" w:styleId="ListBullet">
    <w:name w:val="List Bullet"/>
    <w:basedOn w:val="Normal"/>
    <w:rsid w:val="00A27E33"/>
    <w:pPr>
      <w:numPr>
        <w:numId w:val="12"/>
      </w:numPr>
      <w:ind w:left="720"/>
      <w:contextualSpacing/>
    </w:pPr>
    <w:rPr>
      <w:sz w:val="22"/>
    </w:rPr>
  </w:style>
  <w:style w:type="paragraph" w:styleId="ListBullet2">
    <w:name w:val="List Bullet 2"/>
    <w:basedOn w:val="Normal"/>
    <w:rsid w:val="00BB4D78"/>
    <w:pPr>
      <w:numPr>
        <w:ilvl w:val="1"/>
        <w:numId w:val="12"/>
      </w:numPr>
      <w:contextualSpacing/>
    </w:pPr>
    <w:rPr>
      <w:sz w:val="22"/>
    </w:rPr>
  </w:style>
  <w:style w:type="paragraph" w:styleId="ListBullet3">
    <w:name w:val="List Bullet 3"/>
    <w:basedOn w:val="Normal"/>
    <w:rsid w:val="00BB4D78"/>
    <w:pPr>
      <w:numPr>
        <w:ilvl w:val="2"/>
        <w:numId w:val="12"/>
      </w:numPr>
      <w:contextualSpacing/>
    </w:pPr>
    <w:rPr>
      <w:sz w:val="22"/>
    </w:rPr>
  </w:style>
  <w:style w:type="paragraph" w:styleId="ListBullet4">
    <w:name w:val="List Bullet 4"/>
    <w:basedOn w:val="Normal"/>
    <w:rsid w:val="00BB4D78"/>
    <w:pPr>
      <w:numPr>
        <w:ilvl w:val="3"/>
        <w:numId w:val="12"/>
      </w:numPr>
      <w:contextualSpacing/>
    </w:pPr>
    <w:rPr>
      <w:sz w:val="22"/>
    </w:rPr>
  </w:style>
  <w:style w:type="paragraph" w:styleId="ListBullet5">
    <w:name w:val="List Bullet 5"/>
    <w:basedOn w:val="Normal"/>
    <w:rsid w:val="00BB4D78"/>
    <w:pPr>
      <w:numPr>
        <w:ilvl w:val="4"/>
        <w:numId w:val="12"/>
      </w:numPr>
      <w:contextualSpacing/>
    </w:pPr>
    <w:rPr>
      <w:sz w:val="22"/>
    </w:rPr>
  </w:style>
  <w:style w:type="paragraph" w:styleId="ListNumber">
    <w:name w:val="List Number"/>
    <w:basedOn w:val="Normal"/>
    <w:uiPriority w:val="99"/>
    <w:unhideWhenUsed/>
    <w:rsid w:val="00BE26DA"/>
    <w:pPr>
      <w:numPr>
        <w:numId w:val="1"/>
      </w:numPr>
      <w:contextualSpacing/>
    </w:pPr>
  </w:style>
  <w:style w:type="paragraph" w:styleId="ListNumber2">
    <w:name w:val="List Number 2"/>
    <w:basedOn w:val="Normal"/>
    <w:uiPriority w:val="99"/>
    <w:unhideWhenUsed/>
    <w:rsid w:val="00BE26DA"/>
    <w:pPr>
      <w:numPr>
        <w:numId w:val="2"/>
      </w:numPr>
      <w:contextualSpacing/>
    </w:pPr>
  </w:style>
  <w:style w:type="paragraph" w:styleId="ListNumber3">
    <w:name w:val="List Number 3"/>
    <w:basedOn w:val="Normal"/>
    <w:uiPriority w:val="99"/>
    <w:unhideWhenUsed/>
    <w:rsid w:val="00BE26DA"/>
    <w:pPr>
      <w:numPr>
        <w:numId w:val="3"/>
      </w:numPr>
      <w:contextualSpacing/>
    </w:pPr>
  </w:style>
  <w:style w:type="paragraph" w:styleId="ListNumber4">
    <w:name w:val="List Number 4"/>
    <w:basedOn w:val="Normal"/>
    <w:uiPriority w:val="99"/>
    <w:unhideWhenUsed/>
    <w:rsid w:val="00BE26DA"/>
    <w:pPr>
      <w:numPr>
        <w:numId w:val="4"/>
      </w:numPr>
      <w:contextualSpacing/>
    </w:pPr>
  </w:style>
  <w:style w:type="paragraph" w:styleId="ListNumber5">
    <w:name w:val="List Number 5"/>
    <w:basedOn w:val="Normal"/>
    <w:uiPriority w:val="99"/>
    <w:unhideWhenUsed/>
    <w:rsid w:val="00BE26DA"/>
    <w:pPr>
      <w:numPr>
        <w:numId w:val="5"/>
      </w:numPr>
      <w:contextualSpacing/>
    </w:pPr>
  </w:style>
  <w:style w:type="paragraph" w:styleId="ListParagraph">
    <w:name w:val="List Paragraph"/>
    <w:basedOn w:val="Normal"/>
    <w:uiPriority w:val="34"/>
    <w:qFormat/>
    <w:rsid w:val="00BB4D78"/>
    <w:pPr>
      <w:ind w:left="720"/>
      <w:contextualSpacing/>
    </w:pPr>
  </w:style>
  <w:style w:type="paragraph" w:styleId="Subtitle">
    <w:name w:val="Subtitle"/>
    <w:basedOn w:val="Normal"/>
    <w:link w:val="SubtitleChar"/>
    <w:qFormat/>
    <w:rsid w:val="00BB4D78"/>
    <w:pPr>
      <w:jc w:val="center"/>
    </w:pPr>
    <w:rPr>
      <w:b/>
      <w:bCs/>
      <w:sz w:val="36"/>
    </w:rPr>
  </w:style>
  <w:style w:type="character" w:customStyle="1" w:styleId="SubtitleChar">
    <w:name w:val="Subtitle Char"/>
    <w:basedOn w:val="DefaultParagraphFont"/>
    <w:link w:val="Subtitle"/>
    <w:rsid w:val="00BE26DA"/>
    <w:rPr>
      <w:rFonts w:ascii="Times New Roman" w:eastAsia="Times New Roman" w:hAnsi="Times New Roman" w:cs="Times New Roman"/>
      <w:b/>
      <w:bCs/>
      <w:sz w:val="36"/>
      <w:szCs w:val="24"/>
    </w:rPr>
  </w:style>
  <w:style w:type="paragraph" w:styleId="Title">
    <w:name w:val="Title"/>
    <w:basedOn w:val="Normal"/>
    <w:next w:val="Normal"/>
    <w:link w:val="TitleChar"/>
    <w:uiPriority w:val="10"/>
    <w:semiHidden/>
    <w:unhideWhenUsed/>
    <w:rsid w:val="00BE26D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BE26DA"/>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BE26DA"/>
    <w:pPr>
      <w:keepLines/>
      <w:pageBreakBefore w:val="0"/>
      <w:spacing w:before="480" w:after="0"/>
      <w:ind w:left="0" w:firstLine="0"/>
      <w:outlineLvl w:val="9"/>
    </w:pPr>
    <w:rPr>
      <w:rFonts w:asciiTheme="majorHAnsi" w:eastAsiaTheme="majorEastAsia" w:hAnsiTheme="majorHAnsi" w:cstheme="majorBidi"/>
      <w:b w:val="0"/>
      <w:bCs w:val="0"/>
      <w:color w:val="365F91" w:themeColor="accent1" w:themeShade="BF"/>
    </w:rPr>
  </w:style>
  <w:style w:type="paragraph" w:customStyle="1" w:styleId="Default">
    <w:name w:val="Default"/>
    <w:rsid w:val="001151CE"/>
    <w:pPr>
      <w:autoSpaceDE w:val="0"/>
      <w:autoSpaceDN w:val="0"/>
      <w:adjustRightInd w:val="0"/>
      <w:spacing w:after="0" w:line="240" w:lineRule="auto"/>
    </w:pPr>
    <w:rPr>
      <w:rFonts w:ascii="Times New Roman" w:eastAsiaTheme="majorEastAsia" w:hAnsi="Times New Roman" w:cs="Times New Roman"/>
      <w:color w:val="000000"/>
      <w:sz w:val="24"/>
      <w:szCs w:val="24"/>
    </w:rPr>
  </w:style>
  <w:style w:type="paragraph" w:styleId="Revision">
    <w:name w:val="Revision"/>
    <w:hidden/>
    <w:uiPriority w:val="99"/>
    <w:semiHidden/>
    <w:rsid w:val="00FC402D"/>
    <w:pPr>
      <w:spacing w:after="0" w:line="240" w:lineRule="auto"/>
    </w:pPr>
    <w:rPr>
      <w:rFonts w:ascii="Times New Roman" w:eastAsia="Times New Roman" w:hAnsi="Times New Roman" w:cs="Times New Roman"/>
      <w:sz w:val="26"/>
      <w:szCs w:val="20"/>
      <w:lang w:val="en-GB"/>
    </w:rPr>
  </w:style>
  <w:style w:type="paragraph" w:styleId="BalloonText">
    <w:name w:val="Balloon Text"/>
    <w:basedOn w:val="Normal"/>
    <w:link w:val="BalloonTextChar"/>
    <w:semiHidden/>
    <w:unhideWhenUsed/>
    <w:rsid w:val="004C1516"/>
    <w:rPr>
      <w:rFonts w:ascii="Tahoma" w:hAnsi="Tahoma" w:cs="Tahoma"/>
      <w:sz w:val="16"/>
      <w:szCs w:val="16"/>
    </w:rPr>
  </w:style>
  <w:style w:type="character" w:customStyle="1" w:styleId="BalloonTextChar">
    <w:name w:val="Balloon Text Char"/>
    <w:basedOn w:val="DefaultParagraphFont"/>
    <w:link w:val="BalloonText"/>
    <w:semiHidden/>
    <w:rsid w:val="004C1516"/>
    <w:rPr>
      <w:rFonts w:ascii="Tahoma" w:eastAsia="Times New Roman" w:hAnsi="Tahoma" w:cs="Tahoma"/>
      <w:sz w:val="16"/>
      <w:szCs w:val="16"/>
    </w:rPr>
  </w:style>
  <w:style w:type="table" w:styleId="TableGrid">
    <w:name w:val="Table Grid"/>
    <w:basedOn w:val="TableNormal"/>
    <w:uiPriority w:val="59"/>
    <w:rsid w:val="00987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ance-Font2">
    <w:name w:val="Guidance-Font2"/>
    <w:basedOn w:val="Guidance-Font"/>
    <w:qFormat/>
    <w:rsid w:val="00A27E33"/>
    <w:rPr>
      <w:color w:val="FF0000"/>
    </w:rPr>
  </w:style>
  <w:style w:type="character" w:styleId="CommentReference">
    <w:name w:val="annotation reference"/>
    <w:basedOn w:val="DefaultParagraphFont"/>
    <w:semiHidden/>
    <w:unhideWhenUsed/>
    <w:rsid w:val="00436CF9"/>
    <w:rPr>
      <w:sz w:val="16"/>
      <w:szCs w:val="16"/>
    </w:rPr>
  </w:style>
  <w:style w:type="paragraph" w:styleId="CommentText">
    <w:name w:val="annotation text"/>
    <w:basedOn w:val="Normal"/>
    <w:link w:val="CommentTextChar"/>
    <w:semiHidden/>
    <w:unhideWhenUsed/>
    <w:rsid w:val="00436CF9"/>
    <w:rPr>
      <w:sz w:val="20"/>
      <w:szCs w:val="20"/>
    </w:rPr>
  </w:style>
  <w:style w:type="character" w:customStyle="1" w:styleId="CommentTextChar">
    <w:name w:val="Comment Text Char"/>
    <w:basedOn w:val="DefaultParagraphFont"/>
    <w:link w:val="CommentText"/>
    <w:semiHidden/>
    <w:rsid w:val="00436CF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436CF9"/>
    <w:rPr>
      <w:b/>
      <w:bCs/>
    </w:rPr>
  </w:style>
  <w:style w:type="character" w:customStyle="1" w:styleId="CommentSubjectChar">
    <w:name w:val="Comment Subject Char"/>
    <w:basedOn w:val="CommentTextChar"/>
    <w:link w:val="CommentSubject"/>
    <w:semiHidden/>
    <w:rsid w:val="00436CF9"/>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A74438"/>
    <w:rPr>
      <w:color w:val="808080"/>
    </w:rPr>
  </w:style>
  <w:style w:type="paragraph" w:styleId="NormalWeb">
    <w:name w:val="Normal (Web)"/>
    <w:basedOn w:val="Normal"/>
    <w:uiPriority w:val="99"/>
    <w:semiHidden/>
    <w:unhideWhenUsed/>
    <w:rsid w:val="009E3761"/>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index heading" w:uiPriority="0"/>
    <w:lsdException w:name="caption" w:uiPriority="35" w:qFormat="1"/>
    <w:lsdException w:name="envelope address" w:uiPriority="0"/>
    <w:lsdException w:name="envelope return" w:uiPriority="0"/>
    <w:lsdException w:name="annotation reference" w:uiPriority="0"/>
    <w:lsdException w:name="line number" w:uiPriority="0"/>
    <w:lsdException w:name="page number" w:uiPriority="0"/>
    <w:lsdException w:name="endnote reference" w:uiPriority="0"/>
    <w:lsdException w:name="endnote text" w:uiPriority="0"/>
    <w:lsdException w:name="macro" w:uiPriority="0"/>
    <w:lsdException w:name="toa heading"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Title" w:semiHidden="0" w:uiPriority="10" w:unhideWhenUsed="0"/>
    <w:lsdException w:name="Default Paragraph Font" w:uiPriority="1"/>
    <w:lsdException w:name="Message Header" w:uiPriority="0"/>
    <w:lsdException w:name="Subtitle" w:uiPriority="0" w:unhideWhenUsed="0" w:qFormat="1"/>
    <w:lsdException w:name="FollowedHyperlink" w:uiPriority="0"/>
    <w:lsdException w:name="Strong" w:semiHidden="0" w:uiPriority="22" w:unhideWhenUsed="0"/>
    <w:lsdException w:name="Emphasis" w:semiHidden="0" w:uiPriority="20" w:unhideWhenUsed="0"/>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C151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87435"/>
    <w:pPr>
      <w:keepNext/>
      <w:pageBreakBefore/>
      <w:numPr>
        <w:numId w:val="9"/>
      </w:numPr>
      <w:tabs>
        <w:tab w:val="clear" w:pos="1152"/>
      </w:tabs>
      <w:spacing w:after="120"/>
      <w:ind w:left="547" w:hanging="547"/>
      <w:outlineLvl w:val="0"/>
    </w:pPr>
    <w:rPr>
      <w:rFonts w:cs="Arial"/>
      <w:b/>
      <w:bCs/>
      <w:caps/>
      <w:kern w:val="32"/>
      <w:sz w:val="28"/>
      <w:szCs w:val="28"/>
    </w:rPr>
  </w:style>
  <w:style w:type="paragraph" w:styleId="Heading2">
    <w:name w:val="heading 2"/>
    <w:basedOn w:val="Normal"/>
    <w:next w:val="Normal"/>
    <w:link w:val="Heading2Char"/>
    <w:qFormat/>
    <w:rsid w:val="00A27E33"/>
    <w:pPr>
      <w:keepNext/>
      <w:numPr>
        <w:ilvl w:val="1"/>
        <w:numId w:val="9"/>
      </w:numPr>
      <w:tabs>
        <w:tab w:val="clear" w:pos="666"/>
      </w:tabs>
      <w:spacing w:before="120" w:after="60"/>
      <w:ind w:left="630" w:hanging="630"/>
      <w:outlineLvl w:val="1"/>
    </w:pPr>
    <w:rPr>
      <w:rFonts w:cs="Arial"/>
      <w:b/>
      <w:sz w:val="26"/>
      <w:szCs w:val="26"/>
    </w:rPr>
  </w:style>
  <w:style w:type="paragraph" w:styleId="Heading3">
    <w:name w:val="heading 3"/>
    <w:basedOn w:val="Normal"/>
    <w:next w:val="Normal"/>
    <w:link w:val="Heading3Char"/>
    <w:qFormat/>
    <w:rsid w:val="00BB4D78"/>
    <w:pPr>
      <w:keepNext/>
      <w:numPr>
        <w:ilvl w:val="2"/>
        <w:numId w:val="9"/>
      </w:numPr>
      <w:spacing w:before="120" w:after="60"/>
      <w:outlineLvl w:val="2"/>
    </w:pPr>
    <w:rPr>
      <w:rFonts w:cs="Arial"/>
      <w:b/>
      <w:bCs/>
      <w:i/>
      <w:szCs w:val="22"/>
    </w:rPr>
  </w:style>
  <w:style w:type="paragraph" w:styleId="Heading4">
    <w:name w:val="heading 4"/>
    <w:basedOn w:val="Normal"/>
    <w:next w:val="Normal"/>
    <w:link w:val="Heading4Char"/>
    <w:qFormat/>
    <w:rsid w:val="00BB4D78"/>
    <w:pPr>
      <w:keepNext/>
      <w:numPr>
        <w:ilvl w:val="3"/>
        <w:numId w:val="9"/>
      </w:numPr>
      <w:spacing w:before="120" w:after="60"/>
      <w:outlineLvl w:val="3"/>
    </w:pPr>
    <w:rPr>
      <w:b/>
      <w:bCs/>
      <w:szCs w:val="22"/>
    </w:rPr>
  </w:style>
  <w:style w:type="paragraph" w:styleId="Heading5">
    <w:name w:val="heading 5"/>
    <w:basedOn w:val="Normal"/>
    <w:next w:val="Normal"/>
    <w:link w:val="Heading5Char"/>
    <w:qFormat/>
    <w:rsid w:val="00BB4D78"/>
    <w:pPr>
      <w:keepNext/>
      <w:numPr>
        <w:ilvl w:val="4"/>
        <w:numId w:val="9"/>
      </w:numPr>
      <w:outlineLvl w:val="4"/>
    </w:pPr>
    <w:rPr>
      <w:bCs/>
    </w:rPr>
  </w:style>
  <w:style w:type="paragraph" w:styleId="Heading6">
    <w:name w:val="heading 6"/>
    <w:basedOn w:val="Normal"/>
    <w:next w:val="Normal"/>
    <w:link w:val="Heading6Char"/>
    <w:qFormat/>
    <w:rsid w:val="00BB4D78"/>
    <w:pPr>
      <w:keepNext/>
      <w:numPr>
        <w:ilvl w:val="5"/>
        <w:numId w:val="9"/>
      </w:numPr>
      <w:outlineLvl w:val="5"/>
    </w:pPr>
    <w:rPr>
      <w:rFonts w:eastAsia="Arial Unicode MS" w:cs="Arial"/>
      <w:bCs/>
      <w:i/>
      <w:iCs/>
      <w:szCs w:val="20"/>
    </w:rPr>
  </w:style>
  <w:style w:type="paragraph" w:styleId="Heading7">
    <w:name w:val="heading 7"/>
    <w:basedOn w:val="Normal"/>
    <w:next w:val="Normal"/>
    <w:link w:val="Heading7Char"/>
    <w:qFormat/>
    <w:rsid w:val="00BB4D78"/>
    <w:pPr>
      <w:numPr>
        <w:ilvl w:val="6"/>
        <w:numId w:val="9"/>
      </w:numPr>
      <w:spacing w:before="240" w:after="60"/>
      <w:outlineLvl w:val="6"/>
    </w:pPr>
    <w:rPr>
      <w:i/>
    </w:rPr>
  </w:style>
  <w:style w:type="paragraph" w:styleId="Heading8">
    <w:name w:val="heading 8"/>
    <w:basedOn w:val="Normal"/>
    <w:next w:val="Normal"/>
    <w:link w:val="Heading8Char"/>
    <w:qFormat/>
    <w:rsid w:val="00BB4D78"/>
    <w:pPr>
      <w:numPr>
        <w:ilvl w:val="7"/>
        <w:numId w:val="9"/>
      </w:numPr>
      <w:spacing w:before="240" w:after="60"/>
      <w:outlineLvl w:val="7"/>
    </w:pPr>
    <w:rPr>
      <w:i/>
      <w:iCs/>
    </w:rPr>
  </w:style>
  <w:style w:type="paragraph" w:styleId="Heading9">
    <w:name w:val="heading 9"/>
    <w:basedOn w:val="Normal"/>
    <w:next w:val="Normal"/>
    <w:link w:val="Heading9Char"/>
    <w:qFormat/>
    <w:rsid w:val="00BB4D78"/>
    <w:pPr>
      <w:numPr>
        <w:ilvl w:val="8"/>
        <w:numId w:val="9"/>
      </w:numPr>
      <w:spacing w:before="24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next w:val="Normal"/>
    <w:rsid w:val="00BB4D78"/>
    <w:pPr>
      <w:numPr>
        <w:numId w:val="7"/>
      </w:numPr>
    </w:pPr>
  </w:style>
  <w:style w:type="numbering" w:customStyle="1" w:styleId="BulletStyle">
    <w:name w:val="BulletStyle"/>
    <w:basedOn w:val="NoList"/>
    <w:uiPriority w:val="99"/>
    <w:rsid w:val="00BB4D78"/>
    <w:pPr>
      <w:numPr>
        <w:numId w:val="8"/>
      </w:numPr>
    </w:pPr>
  </w:style>
  <w:style w:type="character" w:customStyle="1" w:styleId="CaptionChar">
    <w:name w:val="Caption Char"/>
    <w:aliases w:val="Char Char"/>
    <w:basedOn w:val="DefaultParagraphFont"/>
    <w:link w:val="Caption"/>
    <w:uiPriority w:val="35"/>
    <w:rsid w:val="00BB4D78"/>
    <w:rPr>
      <w:rFonts w:ascii="Times New Roman" w:eastAsia="Times New Roman" w:hAnsi="Times New Roman" w:cs="Times New Roman"/>
      <w:b/>
      <w:bCs/>
      <w:sz w:val="20"/>
      <w:szCs w:val="20"/>
    </w:rPr>
  </w:style>
  <w:style w:type="paragraph" w:customStyle="1" w:styleId="FinePrint">
    <w:name w:val="FinePrint"/>
    <w:basedOn w:val="Normal"/>
    <w:rsid w:val="00BB4D78"/>
    <w:rPr>
      <w:sz w:val="16"/>
    </w:rPr>
  </w:style>
  <w:style w:type="paragraph" w:customStyle="1" w:styleId="FinePrintBOLD">
    <w:name w:val="FinePrintBOLD"/>
    <w:basedOn w:val="FinePrint"/>
    <w:rsid w:val="00BB4D78"/>
    <w:pPr>
      <w:jc w:val="center"/>
    </w:pPr>
    <w:rPr>
      <w:b/>
    </w:rPr>
  </w:style>
  <w:style w:type="paragraph" w:customStyle="1" w:styleId="IndentedItalics">
    <w:name w:val="IndentedItalics"/>
    <w:basedOn w:val="Normal"/>
    <w:rsid w:val="00BB4D78"/>
    <w:pPr>
      <w:ind w:left="720"/>
    </w:pPr>
    <w:rPr>
      <w:i/>
      <w:sz w:val="22"/>
    </w:rPr>
  </w:style>
  <w:style w:type="paragraph" w:customStyle="1" w:styleId="List1">
    <w:name w:val="List 1"/>
    <w:basedOn w:val="Normal"/>
    <w:rsid w:val="00BB4D78"/>
    <w:pPr>
      <w:numPr>
        <w:numId w:val="10"/>
      </w:numPr>
    </w:pPr>
    <w:rPr>
      <w:sz w:val="22"/>
    </w:rPr>
  </w:style>
  <w:style w:type="numbering" w:customStyle="1" w:styleId="LL-Num">
    <w:name w:val="LL-Num"/>
    <w:basedOn w:val="NoList"/>
    <w:uiPriority w:val="99"/>
    <w:rsid w:val="00BB4D78"/>
    <w:pPr>
      <w:numPr>
        <w:numId w:val="11"/>
      </w:numPr>
    </w:pPr>
  </w:style>
  <w:style w:type="paragraph" w:customStyle="1" w:styleId="Guidance-Font">
    <w:name w:val="Guidance-Font"/>
    <w:basedOn w:val="Normal"/>
    <w:qFormat/>
    <w:rsid w:val="00BB4D78"/>
    <w:rPr>
      <w:i/>
      <w:color w:val="548DD4" w:themeColor="text2" w:themeTint="99"/>
    </w:rPr>
  </w:style>
  <w:style w:type="numbering" w:customStyle="1" w:styleId="RDListBullets">
    <w:name w:val="RD_ListBullets"/>
    <w:uiPriority w:val="99"/>
    <w:rsid w:val="00BB4D78"/>
    <w:pPr>
      <w:numPr>
        <w:numId w:val="12"/>
      </w:numPr>
    </w:pPr>
  </w:style>
  <w:style w:type="paragraph" w:customStyle="1" w:styleId="subtitle2">
    <w:name w:val="subtitle2"/>
    <w:basedOn w:val="Subtitle"/>
    <w:rsid w:val="00BB4D78"/>
    <w:rPr>
      <w:b w:val="0"/>
      <w:sz w:val="28"/>
    </w:rPr>
  </w:style>
  <w:style w:type="paragraph" w:customStyle="1" w:styleId="subtitle3">
    <w:name w:val="subtitle3"/>
    <w:basedOn w:val="Normal"/>
    <w:rsid w:val="00BB4D78"/>
    <w:pPr>
      <w:jc w:val="center"/>
    </w:pPr>
    <w:rPr>
      <w:b/>
      <w:i/>
      <w:sz w:val="28"/>
    </w:rPr>
  </w:style>
  <w:style w:type="paragraph" w:customStyle="1" w:styleId="TableText">
    <w:name w:val="Table Text"/>
    <w:basedOn w:val="Normal"/>
    <w:link w:val="TableTextChar"/>
    <w:rsid w:val="00BB4D78"/>
    <w:pPr>
      <w:keepLines/>
      <w:spacing w:before="20" w:after="20"/>
    </w:pPr>
    <w:rPr>
      <w:rFonts w:cs="Arial"/>
      <w:bCs/>
      <w:iCs/>
      <w:sz w:val="20"/>
      <w:szCs w:val="20"/>
    </w:rPr>
  </w:style>
  <w:style w:type="character" w:customStyle="1" w:styleId="TableTextChar">
    <w:name w:val="Table Text Char"/>
    <w:basedOn w:val="DefaultParagraphFont"/>
    <w:link w:val="TableText"/>
    <w:rsid w:val="00BB4D78"/>
    <w:rPr>
      <w:rFonts w:ascii="Times New Roman" w:eastAsia="Times New Roman" w:hAnsi="Times New Roman" w:cs="Arial"/>
      <w:bCs/>
      <w:iCs/>
      <w:sz w:val="20"/>
      <w:szCs w:val="20"/>
    </w:rPr>
  </w:style>
  <w:style w:type="paragraph" w:customStyle="1" w:styleId="TableTitleRow">
    <w:name w:val="Table Title Row"/>
    <w:basedOn w:val="TableText"/>
    <w:rsid w:val="00BB4D78"/>
    <w:pPr>
      <w:jc w:val="center"/>
    </w:pPr>
    <w:rPr>
      <w:b/>
    </w:rPr>
  </w:style>
  <w:style w:type="paragraph" w:customStyle="1" w:styleId="TOCHEADER">
    <w:name w:val="TOC HEADER"/>
    <w:basedOn w:val="Normal"/>
    <w:rsid w:val="00BB4D78"/>
    <w:pPr>
      <w:jc w:val="center"/>
    </w:pPr>
    <w:rPr>
      <w:b/>
      <w:sz w:val="32"/>
    </w:rPr>
  </w:style>
  <w:style w:type="paragraph" w:customStyle="1" w:styleId="VBCode">
    <w:name w:val="VB_Code"/>
    <w:basedOn w:val="Normal"/>
    <w:rsid w:val="00BB4D78"/>
    <w:rPr>
      <w:rFonts w:ascii="Courier" w:hAnsi="Courier"/>
      <w:sz w:val="16"/>
    </w:rPr>
  </w:style>
  <w:style w:type="paragraph" w:styleId="Caption">
    <w:name w:val="caption"/>
    <w:aliases w:val="Char"/>
    <w:basedOn w:val="Normal"/>
    <w:next w:val="Normal"/>
    <w:link w:val="CaptionChar"/>
    <w:uiPriority w:val="35"/>
    <w:qFormat/>
    <w:rsid w:val="00BB4D78"/>
    <w:pPr>
      <w:spacing w:before="120" w:after="120"/>
      <w:jc w:val="center"/>
    </w:pPr>
    <w:rPr>
      <w:b/>
      <w:bCs/>
      <w:sz w:val="20"/>
      <w:szCs w:val="20"/>
    </w:rPr>
  </w:style>
  <w:style w:type="paragraph" w:styleId="Header">
    <w:name w:val="header"/>
    <w:basedOn w:val="Normal"/>
    <w:link w:val="HeaderChar"/>
    <w:rsid w:val="00BB4D78"/>
    <w:pPr>
      <w:tabs>
        <w:tab w:val="center" w:pos="4320"/>
        <w:tab w:val="right" w:pos="8640"/>
      </w:tabs>
    </w:pPr>
  </w:style>
  <w:style w:type="character" w:customStyle="1" w:styleId="HeaderChar">
    <w:name w:val="Header Char"/>
    <w:basedOn w:val="DefaultParagraphFont"/>
    <w:link w:val="Header"/>
    <w:rsid w:val="007002BE"/>
    <w:rPr>
      <w:rFonts w:ascii="Times New Roman" w:eastAsia="Times New Roman" w:hAnsi="Times New Roman" w:cs="Times New Roman"/>
      <w:sz w:val="24"/>
      <w:szCs w:val="24"/>
    </w:rPr>
  </w:style>
  <w:style w:type="paragraph" w:styleId="Footer">
    <w:name w:val="footer"/>
    <w:basedOn w:val="Normal"/>
    <w:link w:val="FooterChar"/>
    <w:uiPriority w:val="99"/>
    <w:rsid w:val="00BB4D78"/>
    <w:pPr>
      <w:tabs>
        <w:tab w:val="center" w:pos="4320"/>
        <w:tab w:val="right" w:pos="8640"/>
      </w:tabs>
    </w:pPr>
  </w:style>
  <w:style w:type="character" w:customStyle="1" w:styleId="FooterChar">
    <w:name w:val="Footer Char"/>
    <w:basedOn w:val="DefaultParagraphFont"/>
    <w:link w:val="Footer"/>
    <w:uiPriority w:val="99"/>
    <w:rsid w:val="00BE26DA"/>
    <w:rPr>
      <w:rFonts w:ascii="Times New Roman" w:eastAsia="Times New Roman" w:hAnsi="Times New Roman" w:cs="Times New Roman"/>
      <w:sz w:val="24"/>
      <w:szCs w:val="24"/>
    </w:rPr>
  </w:style>
  <w:style w:type="character" w:styleId="FootnoteReference">
    <w:name w:val="footnote reference"/>
    <w:basedOn w:val="DefaultParagraphFont"/>
    <w:uiPriority w:val="99"/>
    <w:rsid w:val="00BB4D78"/>
    <w:rPr>
      <w:vertAlign w:val="superscript"/>
    </w:rPr>
  </w:style>
  <w:style w:type="paragraph" w:styleId="FootnoteText">
    <w:name w:val="footnote text"/>
    <w:basedOn w:val="Normal"/>
    <w:link w:val="FootnoteTextChar"/>
    <w:uiPriority w:val="99"/>
    <w:rsid w:val="00BB4D78"/>
    <w:rPr>
      <w:sz w:val="18"/>
      <w:szCs w:val="20"/>
    </w:rPr>
  </w:style>
  <w:style w:type="character" w:customStyle="1" w:styleId="FootnoteTextChar">
    <w:name w:val="Footnote Text Char"/>
    <w:basedOn w:val="DefaultParagraphFont"/>
    <w:link w:val="FootnoteText"/>
    <w:uiPriority w:val="99"/>
    <w:rsid w:val="00FC2BEE"/>
    <w:rPr>
      <w:rFonts w:ascii="Times New Roman" w:eastAsia="Times New Roman" w:hAnsi="Times New Roman" w:cs="Times New Roman"/>
      <w:sz w:val="18"/>
      <w:szCs w:val="20"/>
    </w:rPr>
  </w:style>
  <w:style w:type="character" w:customStyle="1" w:styleId="Heading1Char">
    <w:name w:val="Heading 1 Char"/>
    <w:basedOn w:val="DefaultParagraphFont"/>
    <w:link w:val="Heading1"/>
    <w:rsid w:val="00987435"/>
    <w:rPr>
      <w:rFonts w:ascii="Times New Roman" w:eastAsia="Times New Roman" w:hAnsi="Times New Roman" w:cs="Arial"/>
      <w:b/>
      <w:bCs/>
      <w:caps/>
      <w:kern w:val="32"/>
      <w:sz w:val="28"/>
      <w:szCs w:val="28"/>
    </w:rPr>
  </w:style>
  <w:style w:type="character" w:customStyle="1" w:styleId="Heading2Char">
    <w:name w:val="Heading 2 Char"/>
    <w:basedOn w:val="DefaultParagraphFont"/>
    <w:link w:val="Heading2"/>
    <w:rsid w:val="00A27E33"/>
    <w:rPr>
      <w:rFonts w:ascii="Times New Roman" w:eastAsia="Times New Roman" w:hAnsi="Times New Roman" w:cs="Arial"/>
      <w:b/>
      <w:sz w:val="26"/>
      <w:szCs w:val="26"/>
    </w:rPr>
  </w:style>
  <w:style w:type="character" w:customStyle="1" w:styleId="Heading3Char">
    <w:name w:val="Heading 3 Char"/>
    <w:basedOn w:val="DefaultParagraphFont"/>
    <w:link w:val="Heading3"/>
    <w:rsid w:val="00BE26DA"/>
    <w:rPr>
      <w:rFonts w:ascii="Times New Roman" w:eastAsia="Times New Roman" w:hAnsi="Times New Roman" w:cs="Arial"/>
      <w:b/>
      <w:bCs/>
      <w:i/>
      <w:sz w:val="24"/>
    </w:rPr>
  </w:style>
  <w:style w:type="character" w:customStyle="1" w:styleId="Heading4Char">
    <w:name w:val="Heading 4 Char"/>
    <w:basedOn w:val="DefaultParagraphFont"/>
    <w:link w:val="Heading4"/>
    <w:rsid w:val="00BE26DA"/>
    <w:rPr>
      <w:rFonts w:ascii="Times New Roman" w:eastAsia="Times New Roman" w:hAnsi="Times New Roman" w:cs="Times New Roman"/>
      <w:b/>
      <w:bCs/>
      <w:sz w:val="24"/>
    </w:rPr>
  </w:style>
  <w:style w:type="character" w:customStyle="1" w:styleId="Heading5Char">
    <w:name w:val="Heading 5 Char"/>
    <w:basedOn w:val="DefaultParagraphFont"/>
    <w:link w:val="Heading5"/>
    <w:rsid w:val="00BE26DA"/>
    <w:rPr>
      <w:rFonts w:ascii="Times New Roman" w:eastAsia="Times New Roman" w:hAnsi="Times New Roman" w:cs="Times New Roman"/>
      <w:bCs/>
      <w:sz w:val="24"/>
      <w:szCs w:val="24"/>
    </w:rPr>
  </w:style>
  <w:style w:type="character" w:styleId="PageNumber">
    <w:name w:val="page number"/>
    <w:basedOn w:val="DefaultParagraphFont"/>
    <w:rsid w:val="00BB4D78"/>
  </w:style>
  <w:style w:type="paragraph" w:styleId="TOC1">
    <w:name w:val="toc 1"/>
    <w:basedOn w:val="Normal"/>
    <w:next w:val="Normal"/>
    <w:autoRedefine/>
    <w:uiPriority w:val="39"/>
    <w:rsid w:val="00BB4D78"/>
    <w:pPr>
      <w:tabs>
        <w:tab w:val="left" w:pos="561"/>
        <w:tab w:val="right" w:leader="underscore" w:pos="9350"/>
      </w:tabs>
      <w:spacing w:before="120"/>
    </w:pPr>
    <w:rPr>
      <w:b/>
      <w:bCs/>
      <w:i/>
      <w:iCs/>
      <w:szCs w:val="28"/>
    </w:rPr>
  </w:style>
  <w:style w:type="paragraph" w:styleId="TOC2">
    <w:name w:val="toc 2"/>
    <w:basedOn w:val="Normal"/>
    <w:next w:val="Normal"/>
    <w:autoRedefine/>
    <w:uiPriority w:val="39"/>
    <w:rsid w:val="00BB4D78"/>
    <w:pPr>
      <w:ind w:left="245"/>
    </w:pPr>
    <w:rPr>
      <w:bCs/>
      <w:szCs w:val="26"/>
    </w:rPr>
  </w:style>
  <w:style w:type="paragraph" w:styleId="TOC3">
    <w:name w:val="toc 3"/>
    <w:basedOn w:val="Normal"/>
    <w:next w:val="Normal"/>
    <w:autoRedefine/>
    <w:uiPriority w:val="39"/>
    <w:rsid w:val="00BB4D78"/>
    <w:pPr>
      <w:ind w:left="480"/>
    </w:pPr>
  </w:style>
  <w:style w:type="paragraph" w:styleId="TOC4">
    <w:name w:val="toc 4"/>
    <w:basedOn w:val="Normal"/>
    <w:next w:val="Normal"/>
    <w:autoRedefine/>
    <w:rsid w:val="00BB4D78"/>
    <w:pPr>
      <w:ind w:left="720"/>
    </w:pPr>
  </w:style>
  <w:style w:type="paragraph" w:styleId="TOC5">
    <w:name w:val="toc 5"/>
    <w:basedOn w:val="Normal"/>
    <w:next w:val="Normal"/>
    <w:autoRedefine/>
    <w:rsid w:val="00BB4D78"/>
    <w:pPr>
      <w:ind w:left="960"/>
    </w:pPr>
  </w:style>
  <w:style w:type="paragraph" w:styleId="TOC6">
    <w:name w:val="toc 6"/>
    <w:basedOn w:val="Normal"/>
    <w:next w:val="Normal"/>
    <w:autoRedefine/>
    <w:rsid w:val="00BB4D78"/>
    <w:pPr>
      <w:ind w:left="1200"/>
    </w:pPr>
  </w:style>
  <w:style w:type="paragraph" w:styleId="TOC7">
    <w:name w:val="toc 7"/>
    <w:basedOn w:val="Normal"/>
    <w:next w:val="Normal"/>
    <w:autoRedefine/>
    <w:rsid w:val="00BB4D78"/>
    <w:pPr>
      <w:ind w:left="1440"/>
    </w:pPr>
  </w:style>
  <w:style w:type="paragraph" w:styleId="TOC8">
    <w:name w:val="toc 8"/>
    <w:basedOn w:val="Normal"/>
    <w:next w:val="Normal"/>
    <w:autoRedefine/>
    <w:rsid w:val="00BB4D78"/>
    <w:pPr>
      <w:ind w:left="1680"/>
    </w:pPr>
  </w:style>
  <w:style w:type="paragraph" w:styleId="TOC9">
    <w:name w:val="toc 9"/>
    <w:basedOn w:val="Normal"/>
    <w:next w:val="Normal"/>
    <w:autoRedefine/>
    <w:rsid w:val="00BB4D78"/>
    <w:pPr>
      <w:ind w:left="1920"/>
    </w:pPr>
  </w:style>
  <w:style w:type="character" w:customStyle="1" w:styleId="Heading6Char">
    <w:name w:val="Heading 6 Char"/>
    <w:basedOn w:val="DefaultParagraphFont"/>
    <w:link w:val="Heading6"/>
    <w:rsid w:val="00BE26DA"/>
    <w:rPr>
      <w:rFonts w:ascii="Times New Roman" w:eastAsia="Arial Unicode MS" w:hAnsi="Times New Roman" w:cs="Arial"/>
      <w:bCs/>
      <w:i/>
      <w:iCs/>
      <w:sz w:val="24"/>
      <w:szCs w:val="20"/>
    </w:rPr>
  </w:style>
  <w:style w:type="character" w:customStyle="1" w:styleId="Heading7Char">
    <w:name w:val="Heading 7 Char"/>
    <w:basedOn w:val="DefaultParagraphFont"/>
    <w:link w:val="Heading7"/>
    <w:rsid w:val="00BE26DA"/>
    <w:rPr>
      <w:rFonts w:ascii="Times New Roman" w:eastAsia="Times New Roman" w:hAnsi="Times New Roman" w:cs="Times New Roman"/>
      <w:i/>
      <w:sz w:val="24"/>
      <w:szCs w:val="24"/>
    </w:rPr>
  </w:style>
  <w:style w:type="character" w:customStyle="1" w:styleId="Heading8Char">
    <w:name w:val="Heading 8 Char"/>
    <w:basedOn w:val="DefaultParagraphFont"/>
    <w:link w:val="Heading8"/>
    <w:rsid w:val="00BE26D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E26DA"/>
    <w:rPr>
      <w:rFonts w:ascii="Arial" w:eastAsia="Times New Roman" w:hAnsi="Arial" w:cs="Arial"/>
      <w:i/>
    </w:rPr>
  </w:style>
  <w:style w:type="character" w:styleId="FollowedHyperlink">
    <w:name w:val="FollowedHyperlink"/>
    <w:basedOn w:val="DefaultParagraphFont"/>
    <w:rsid w:val="00BB4D78"/>
    <w:rPr>
      <w:color w:val="800080"/>
      <w:u w:val="single"/>
    </w:rPr>
  </w:style>
  <w:style w:type="character" w:styleId="Hyperlink">
    <w:name w:val="Hyperlink"/>
    <w:basedOn w:val="DefaultParagraphFont"/>
    <w:uiPriority w:val="99"/>
    <w:rsid w:val="00BB4D78"/>
    <w:rPr>
      <w:color w:val="0000FF"/>
      <w:u w:val="single"/>
    </w:rPr>
  </w:style>
  <w:style w:type="paragraph" w:styleId="List">
    <w:name w:val="List"/>
    <w:basedOn w:val="Normal"/>
    <w:uiPriority w:val="99"/>
    <w:unhideWhenUsed/>
    <w:rsid w:val="00BE26DA"/>
    <w:pPr>
      <w:ind w:left="360" w:hanging="360"/>
      <w:contextualSpacing/>
    </w:pPr>
  </w:style>
  <w:style w:type="paragraph" w:styleId="List2">
    <w:name w:val="List 2"/>
    <w:basedOn w:val="Normal"/>
    <w:rsid w:val="00BB4D78"/>
    <w:pPr>
      <w:numPr>
        <w:ilvl w:val="1"/>
        <w:numId w:val="10"/>
      </w:numPr>
      <w:contextualSpacing/>
    </w:pPr>
    <w:rPr>
      <w:sz w:val="22"/>
    </w:rPr>
  </w:style>
  <w:style w:type="paragraph" w:styleId="List3">
    <w:name w:val="List 3"/>
    <w:basedOn w:val="Normal"/>
    <w:rsid w:val="00BB4D78"/>
    <w:pPr>
      <w:numPr>
        <w:ilvl w:val="2"/>
        <w:numId w:val="10"/>
      </w:numPr>
      <w:contextualSpacing/>
    </w:pPr>
    <w:rPr>
      <w:sz w:val="22"/>
    </w:rPr>
  </w:style>
  <w:style w:type="paragraph" w:styleId="List4">
    <w:name w:val="List 4"/>
    <w:basedOn w:val="Normal"/>
    <w:rsid w:val="00BB4D78"/>
    <w:pPr>
      <w:numPr>
        <w:ilvl w:val="3"/>
        <w:numId w:val="10"/>
      </w:numPr>
      <w:contextualSpacing/>
    </w:pPr>
    <w:rPr>
      <w:sz w:val="22"/>
    </w:rPr>
  </w:style>
  <w:style w:type="paragraph" w:styleId="List5">
    <w:name w:val="List 5"/>
    <w:basedOn w:val="Normal"/>
    <w:rsid w:val="00BB4D78"/>
    <w:pPr>
      <w:numPr>
        <w:ilvl w:val="4"/>
        <w:numId w:val="10"/>
      </w:numPr>
      <w:contextualSpacing/>
    </w:pPr>
    <w:rPr>
      <w:sz w:val="22"/>
    </w:rPr>
  </w:style>
  <w:style w:type="paragraph" w:styleId="ListBullet">
    <w:name w:val="List Bullet"/>
    <w:basedOn w:val="Normal"/>
    <w:rsid w:val="00A27E33"/>
    <w:pPr>
      <w:numPr>
        <w:numId w:val="12"/>
      </w:numPr>
      <w:ind w:left="720"/>
      <w:contextualSpacing/>
    </w:pPr>
    <w:rPr>
      <w:sz w:val="22"/>
    </w:rPr>
  </w:style>
  <w:style w:type="paragraph" w:styleId="ListBullet2">
    <w:name w:val="List Bullet 2"/>
    <w:basedOn w:val="Normal"/>
    <w:rsid w:val="00BB4D78"/>
    <w:pPr>
      <w:numPr>
        <w:ilvl w:val="1"/>
        <w:numId w:val="12"/>
      </w:numPr>
      <w:contextualSpacing/>
    </w:pPr>
    <w:rPr>
      <w:sz w:val="22"/>
    </w:rPr>
  </w:style>
  <w:style w:type="paragraph" w:styleId="ListBullet3">
    <w:name w:val="List Bullet 3"/>
    <w:basedOn w:val="Normal"/>
    <w:rsid w:val="00BB4D78"/>
    <w:pPr>
      <w:numPr>
        <w:ilvl w:val="2"/>
        <w:numId w:val="12"/>
      </w:numPr>
      <w:contextualSpacing/>
    </w:pPr>
    <w:rPr>
      <w:sz w:val="22"/>
    </w:rPr>
  </w:style>
  <w:style w:type="paragraph" w:styleId="ListBullet4">
    <w:name w:val="List Bullet 4"/>
    <w:basedOn w:val="Normal"/>
    <w:rsid w:val="00BB4D78"/>
    <w:pPr>
      <w:numPr>
        <w:ilvl w:val="3"/>
        <w:numId w:val="12"/>
      </w:numPr>
      <w:contextualSpacing/>
    </w:pPr>
    <w:rPr>
      <w:sz w:val="22"/>
    </w:rPr>
  </w:style>
  <w:style w:type="paragraph" w:styleId="ListBullet5">
    <w:name w:val="List Bullet 5"/>
    <w:basedOn w:val="Normal"/>
    <w:rsid w:val="00BB4D78"/>
    <w:pPr>
      <w:numPr>
        <w:ilvl w:val="4"/>
        <w:numId w:val="12"/>
      </w:numPr>
      <w:contextualSpacing/>
    </w:pPr>
    <w:rPr>
      <w:sz w:val="22"/>
    </w:rPr>
  </w:style>
  <w:style w:type="paragraph" w:styleId="ListNumber">
    <w:name w:val="List Number"/>
    <w:basedOn w:val="Normal"/>
    <w:uiPriority w:val="99"/>
    <w:unhideWhenUsed/>
    <w:rsid w:val="00BE26DA"/>
    <w:pPr>
      <w:numPr>
        <w:numId w:val="1"/>
      </w:numPr>
      <w:contextualSpacing/>
    </w:pPr>
  </w:style>
  <w:style w:type="paragraph" w:styleId="ListNumber2">
    <w:name w:val="List Number 2"/>
    <w:basedOn w:val="Normal"/>
    <w:uiPriority w:val="99"/>
    <w:unhideWhenUsed/>
    <w:rsid w:val="00BE26DA"/>
    <w:pPr>
      <w:numPr>
        <w:numId w:val="2"/>
      </w:numPr>
      <w:contextualSpacing/>
    </w:pPr>
  </w:style>
  <w:style w:type="paragraph" w:styleId="ListNumber3">
    <w:name w:val="List Number 3"/>
    <w:basedOn w:val="Normal"/>
    <w:uiPriority w:val="99"/>
    <w:unhideWhenUsed/>
    <w:rsid w:val="00BE26DA"/>
    <w:pPr>
      <w:numPr>
        <w:numId w:val="3"/>
      </w:numPr>
      <w:contextualSpacing/>
    </w:pPr>
  </w:style>
  <w:style w:type="paragraph" w:styleId="ListNumber4">
    <w:name w:val="List Number 4"/>
    <w:basedOn w:val="Normal"/>
    <w:uiPriority w:val="99"/>
    <w:unhideWhenUsed/>
    <w:rsid w:val="00BE26DA"/>
    <w:pPr>
      <w:numPr>
        <w:numId w:val="4"/>
      </w:numPr>
      <w:contextualSpacing/>
    </w:pPr>
  </w:style>
  <w:style w:type="paragraph" w:styleId="ListNumber5">
    <w:name w:val="List Number 5"/>
    <w:basedOn w:val="Normal"/>
    <w:uiPriority w:val="99"/>
    <w:unhideWhenUsed/>
    <w:rsid w:val="00BE26DA"/>
    <w:pPr>
      <w:numPr>
        <w:numId w:val="5"/>
      </w:numPr>
      <w:contextualSpacing/>
    </w:pPr>
  </w:style>
  <w:style w:type="paragraph" w:styleId="ListParagraph">
    <w:name w:val="List Paragraph"/>
    <w:basedOn w:val="Normal"/>
    <w:uiPriority w:val="34"/>
    <w:qFormat/>
    <w:rsid w:val="00BB4D78"/>
    <w:pPr>
      <w:ind w:left="720"/>
      <w:contextualSpacing/>
    </w:pPr>
  </w:style>
  <w:style w:type="paragraph" w:styleId="Subtitle">
    <w:name w:val="Subtitle"/>
    <w:basedOn w:val="Normal"/>
    <w:link w:val="SubtitleChar"/>
    <w:qFormat/>
    <w:rsid w:val="00BB4D78"/>
    <w:pPr>
      <w:jc w:val="center"/>
    </w:pPr>
    <w:rPr>
      <w:b/>
      <w:bCs/>
      <w:sz w:val="36"/>
    </w:rPr>
  </w:style>
  <w:style w:type="character" w:customStyle="1" w:styleId="SubtitleChar">
    <w:name w:val="Subtitle Char"/>
    <w:basedOn w:val="DefaultParagraphFont"/>
    <w:link w:val="Subtitle"/>
    <w:rsid w:val="00BE26DA"/>
    <w:rPr>
      <w:rFonts w:ascii="Times New Roman" w:eastAsia="Times New Roman" w:hAnsi="Times New Roman" w:cs="Times New Roman"/>
      <w:b/>
      <w:bCs/>
      <w:sz w:val="36"/>
      <w:szCs w:val="24"/>
    </w:rPr>
  </w:style>
  <w:style w:type="paragraph" w:styleId="Title">
    <w:name w:val="Title"/>
    <w:basedOn w:val="Normal"/>
    <w:next w:val="Normal"/>
    <w:link w:val="TitleChar"/>
    <w:uiPriority w:val="10"/>
    <w:semiHidden/>
    <w:unhideWhenUsed/>
    <w:rsid w:val="00BE26D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BE26DA"/>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BE26DA"/>
    <w:pPr>
      <w:keepLines/>
      <w:pageBreakBefore w:val="0"/>
      <w:spacing w:before="480" w:after="0"/>
      <w:ind w:left="0" w:firstLine="0"/>
      <w:outlineLvl w:val="9"/>
    </w:pPr>
    <w:rPr>
      <w:rFonts w:asciiTheme="majorHAnsi" w:eastAsiaTheme="majorEastAsia" w:hAnsiTheme="majorHAnsi" w:cstheme="majorBidi"/>
      <w:b w:val="0"/>
      <w:bCs w:val="0"/>
      <w:color w:val="365F91" w:themeColor="accent1" w:themeShade="BF"/>
    </w:rPr>
  </w:style>
  <w:style w:type="paragraph" w:customStyle="1" w:styleId="Default">
    <w:name w:val="Default"/>
    <w:rsid w:val="001151CE"/>
    <w:pPr>
      <w:autoSpaceDE w:val="0"/>
      <w:autoSpaceDN w:val="0"/>
      <w:adjustRightInd w:val="0"/>
      <w:spacing w:after="0" w:line="240" w:lineRule="auto"/>
    </w:pPr>
    <w:rPr>
      <w:rFonts w:ascii="Times New Roman" w:eastAsiaTheme="majorEastAsia" w:hAnsi="Times New Roman" w:cs="Times New Roman"/>
      <w:color w:val="000000"/>
      <w:sz w:val="24"/>
      <w:szCs w:val="24"/>
    </w:rPr>
  </w:style>
  <w:style w:type="paragraph" w:styleId="Revision">
    <w:name w:val="Revision"/>
    <w:hidden/>
    <w:uiPriority w:val="99"/>
    <w:semiHidden/>
    <w:rsid w:val="00FC402D"/>
    <w:pPr>
      <w:spacing w:after="0" w:line="240" w:lineRule="auto"/>
    </w:pPr>
    <w:rPr>
      <w:rFonts w:ascii="Times New Roman" w:eastAsia="Times New Roman" w:hAnsi="Times New Roman" w:cs="Times New Roman"/>
      <w:sz w:val="26"/>
      <w:szCs w:val="20"/>
      <w:lang w:val="en-GB"/>
    </w:rPr>
  </w:style>
  <w:style w:type="paragraph" w:styleId="BalloonText">
    <w:name w:val="Balloon Text"/>
    <w:basedOn w:val="Normal"/>
    <w:link w:val="BalloonTextChar"/>
    <w:semiHidden/>
    <w:unhideWhenUsed/>
    <w:rsid w:val="004C1516"/>
    <w:rPr>
      <w:rFonts w:ascii="Tahoma" w:hAnsi="Tahoma" w:cs="Tahoma"/>
      <w:sz w:val="16"/>
      <w:szCs w:val="16"/>
    </w:rPr>
  </w:style>
  <w:style w:type="character" w:customStyle="1" w:styleId="BalloonTextChar">
    <w:name w:val="Balloon Text Char"/>
    <w:basedOn w:val="DefaultParagraphFont"/>
    <w:link w:val="BalloonText"/>
    <w:semiHidden/>
    <w:rsid w:val="004C1516"/>
    <w:rPr>
      <w:rFonts w:ascii="Tahoma" w:eastAsia="Times New Roman" w:hAnsi="Tahoma" w:cs="Tahoma"/>
      <w:sz w:val="16"/>
      <w:szCs w:val="16"/>
    </w:rPr>
  </w:style>
  <w:style w:type="table" w:styleId="TableGrid">
    <w:name w:val="Table Grid"/>
    <w:basedOn w:val="TableNormal"/>
    <w:uiPriority w:val="59"/>
    <w:rsid w:val="00987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ance-Font2">
    <w:name w:val="Guidance-Font2"/>
    <w:basedOn w:val="Guidance-Font"/>
    <w:qFormat/>
    <w:rsid w:val="00A27E33"/>
    <w:rPr>
      <w:color w:val="FF0000"/>
    </w:rPr>
  </w:style>
  <w:style w:type="character" w:styleId="CommentReference">
    <w:name w:val="annotation reference"/>
    <w:basedOn w:val="DefaultParagraphFont"/>
    <w:semiHidden/>
    <w:unhideWhenUsed/>
    <w:rsid w:val="00436CF9"/>
    <w:rPr>
      <w:sz w:val="16"/>
      <w:szCs w:val="16"/>
    </w:rPr>
  </w:style>
  <w:style w:type="paragraph" w:styleId="CommentText">
    <w:name w:val="annotation text"/>
    <w:basedOn w:val="Normal"/>
    <w:link w:val="CommentTextChar"/>
    <w:semiHidden/>
    <w:unhideWhenUsed/>
    <w:rsid w:val="00436CF9"/>
    <w:rPr>
      <w:sz w:val="20"/>
      <w:szCs w:val="20"/>
    </w:rPr>
  </w:style>
  <w:style w:type="character" w:customStyle="1" w:styleId="CommentTextChar">
    <w:name w:val="Comment Text Char"/>
    <w:basedOn w:val="DefaultParagraphFont"/>
    <w:link w:val="CommentText"/>
    <w:semiHidden/>
    <w:rsid w:val="00436CF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436CF9"/>
    <w:rPr>
      <w:b/>
      <w:bCs/>
    </w:rPr>
  </w:style>
  <w:style w:type="character" w:customStyle="1" w:styleId="CommentSubjectChar">
    <w:name w:val="Comment Subject Char"/>
    <w:basedOn w:val="CommentTextChar"/>
    <w:link w:val="CommentSubject"/>
    <w:semiHidden/>
    <w:rsid w:val="00436CF9"/>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A74438"/>
    <w:rPr>
      <w:color w:val="808080"/>
    </w:rPr>
  </w:style>
  <w:style w:type="paragraph" w:styleId="NormalWeb">
    <w:name w:val="Normal (Web)"/>
    <w:basedOn w:val="Normal"/>
    <w:uiPriority w:val="99"/>
    <w:semiHidden/>
    <w:unhideWhenUsed/>
    <w:rsid w:val="009E3761"/>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3366">
      <w:bodyDiv w:val="1"/>
      <w:marLeft w:val="0"/>
      <w:marRight w:val="0"/>
      <w:marTop w:val="0"/>
      <w:marBottom w:val="0"/>
      <w:divBdr>
        <w:top w:val="none" w:sz="0" w:space="0" w:color="auto"/>
        <w:left w:val="none" w:sz="0" w:space="0" w:color="auto"/>
        <w:bottom w:val="none" w:sz="0" w:space="0" w:color="auto"/>
        <w:right w:val="none" w:sz="0" w:space="0" w:color="auto"/>
      </w:divBdr>
    </w:div>
    <w:div w:id="72169910">
      <w:bodyDiv w:val="1"/>
      <w:marLeft w:val="0"/>
      <w:marRight w:val="0"/>
      <w:marTop w:val="0"/>
      <w:marBottom w:val="0"/>
      <w:divBdr>
        <w:top w:val="none" w:sz="0" w:space="0" w:color="auto"/>
        <w:left w:val="none" w:sz="0" w:space="0" w:color="auto"/>
        <w:bottom w:val="none" w:sz="0" w:space="0" w:color="auto"/>
        <w:right w:val="none" w:sz="0" w:space="0" w:color="auto"/>
      </w:divBdr>
    </w:div>
    <w:div w:id="274555700">
      <w:bodyDiv w:val="1"/>
      <w:marLeft w:val="0"/>
      <w:marRight w:val="0"/>
      <w:marTop w:val="0"/>
      <w:marBottom w:val="0"/>
      <w:divBdr>
        <w:top w:val="none" w:sz="0" w:space="0" w:color="auto"/>
        <w:left w:val="none" w:sz="0" w:space="0" w:color="auto"/>
        <w:bottom w:val="none" w:sz="0" w:space="0" w:color="auto"/>
        <w:right w:val="none" w:sz="0" w:space="0" w:color="auto"/>
      </w:divBdr>
    </w:div>
    <w:div w:id="761536608">
      <w:bodyDiv w:val="1"/>
      <w:marLeft w:val="0"/>
      <w:marRight w:val="0"/>
      <w:marTop w:val="0"/>
      <w:marBottom w:val="0"/>
      <w:divBdr>
        <w:top w:val="none" w:sz="0" w:space="0" w:color="auto"/>
        <w:left w:val="none" w:sz="0" w:space="0" w:color="auto"/>
        <w:bottom w:val="none" w:sz="0" w:space="0" w:color="auto"/>
        <w:right w:val="none" w:sz="0" w:space="0" w:color="auto"/>
      </w:divBdr>
    </w:div>
    <w:div w:id="919215211">
      <w:bodyDiv w:val="1"/>
      <w:marLeft w:val="0"/>
      <w:marRight w:val="0"/>
      <w:marTop w:val="0"/>
      <w:marBottom w:val="0"/>
      <w:divBdr>
        <w:top w:val="none" w:sz="0" w:space="0" w:color="auto"/>
        <w:left w:val="none" w:sz="0" w:space="0" w:color="auto"/>
        <w:bottom w:val="none" w:sz="0" w:space="0" w:color="auto"/>
        <w:right w:val="none" w:sz="0" w:space="0" w:color="auto"/>
      </w:divBdr>
    </w:div>
    <w:div w:id="994068613">
      <w:bodyDiv w:val="1"/>
      <w:marLeft w:val="0"/>
      <w:marRight w:val="0"/>
      <w:marTop w:val="0"/>
      <w:marBottom w:val="0"/>
      <w:divBdr>
        <w:top w:val="none" w:sz="0" w:space="0" w:color="auto"/>
        <w:left w:val="none" w:sz="0" w:space="0" w:color="auto"/>
        <w:bottom w:val="none" w:sz="0" w:space="0" w:color="auto"/>
        <w:right w:val="none" w:sz="0" w:space="0" w:color="auto"/>
      </w:divBdr>
    </w:div>
    <w:div w:id="1184244695">
      <w:bodyDiv w:val="1"/>
      <w:marLeft w:val="0"/>
      <w:marRight w:val="0"/>
      <w:marTop w:val="0"/>
      <w:marBottom w:val="0"/>
      <w:divBdr>
        <w:top w:val="none" w:sz="0" w:space="0" w:color="auto"/>
        <w:left w:val="none" w:sz="0" w:space="0" w:color="auto"/>
        <w:bottom w:val="none" w:sz="0" w:space="0" w:color="auto"/>
        <w:right w:val="none" w:sz="0" w:space="0" w:color="auto"/>
      </w:divBdr>
    </w:div>
    <w:div w:id="1336573279">
      <w:bodyDiv w:val="1"/>
      <w:marLeft w:val="0"/>
      <w:marRight w:val="0"/>
      <w:marTop w:val="0"/>
      <w:marBottom w:val="0"/>
      <w:divBdr>
        <w:top w:val="none" w:sz="0" w:space="0" w:color="auto"/>
        <w:left w:val="none" w:sz="0" w:space="0" w:color="auto"/>
        <w:bottom w:val="none" w:sz="0" w:space="0" w:color="auto"/>
        <w:right w:val="none" w:sz="0" w:space="0" w:color="auto"/>
      </w:divBdr>
    </w:div>
    <w:div w:id="1380009318">
      <w:bodyDiv w:val="1"/>
      <w:marLeft w:val="0"/>
      <w:marRight w:val="0"/>
      <w:marTop w:val="0"/>
      <w:marBottom w:val="0"/>
      <w:divBdr>
        <w:top w:val="none" w:sz="0" w:space="0" w:color="auto"/>
        <w:left w:val="none" w:sz="0" w:space="0" w:color="auto"/>
        <w:bottom w:val="none" w:sz="0" w:space="0" w:color="auto"/>
        <w:right w:val="none" w:sz="0" w:space="0" w:color="auto"/>
      </w:divBdr>
    </w:div>
    <w:div w:id="1384138731">
      <w:bodyDiv w:val="1"/>
      <w:marLeft w:val="0"/>
      <w:marRight w:val="0"/>
      <w:marTop w:val="0"/>
      <w:marBottom w:val="0"/>
      <w:divBdr>
        <w:top w:val="none" w:sz="0" w:space="0" w:color="auto"/>
        <w:left w:val="none" w:sz="0" w:space="0" w:color="auto"/>
        <w:bottom w:val="none" w:sz="0" w:space="0" w:color="auto"/>
        <w:right w:val="none" w:sz="0" w:space="0" w:color="auto"/>
      </w:divBdr>
    </w:div>
    <w:div w:id="1446655239">
      <w:bodyDiv w:val="1"/>
      <w:marLeft w:val="0"/>
      <w:marRight w:val="0"/>
      <w:marTop w:val="0"/>
      <w:marBottom w:val="0"/>
      <w:divBdr>
        <w:top w:val="none" w:sz="0" w:space="0" w:color="auto"/>
        <w:left w:val="none" w:sz="0" w:space="0" w:color="auto"/>
        <w:bottom w:val="none" w:sz="0" w:space="0" w:color="auto"/>
        <w:right w:val="none" w:sz="0" w:space="0" w:color="auto"/>
      </w:divBdr>
    </w:div>
    <w:div w:id="1621492566">
      <w:bodyDiv w:val="1"/>
      <w:marLeft w:val="0"/>
      <w:marRight w:val="0"/>
      <w:marTop w:val="0"/>
      <w:marBottom w:val="0"/>
      <w:divBdr>
        <w:top w:val="none" w:sz="0" w:space="0" w:color="auto"/>
        <w:left w:val="none" w:sz="0" w:space="0" w:color="auto"/>
        <w:bottom w:val="none" w:sz="0" w:space="0" w:color="auto"/>
        <w:right w:val="none" w:sz="0" w:space="0" w:color="auto"/>
      </w:divBdr>
    </w:div>
    <w:div w:id="1855529685">
      <w:bodyDiv w:val="1"/>
      <w:marLeft w:val="0"/>
      <w:marRight w:val="0"/>
      <w:marTop w:val="0"/>
      <w:marBottom w:val="0"/>
      <w:divBdr>
        <w:top w:val="none" w:sz="0" w:space="0" w:color="auto"/>
        <w:left w:val="none" w:sz="0" w:space="0" w:color="auto"/>
        <w:bottom w:val="none" w:sz="0" w:space="0" w:color="auto"/>
        <w:right w:val="none" w:sz="0" w:space="0" w:color="auto"/>
      </w:divBdr>
    </w:div>
    <w:div w:id="1946812752">
      <w:bodyDiv w:val="1"/>
      <w:marLeft w:val="0"/>
      <w:marRight w:val="0"/>
      <w:marTop w:val="0"/>
      <w:marBottom w:val="0"/>
      <w:divBdr>
        <w:top w:val="none" w:sz="0" w:space="0" w:color="auto"/>
        <w:left w:val="none" w:sz="0" w:space="0" w:color="auto"/>
        <w:bottom w:val="none" w:sz="0" w:space="0" w:color="auto"/>
        <w:right w:val="none" w:sz="0" w:space="0" w:color="auto"/>
      </w:divBdr>
    </w:div>
    <w:div w:id="205966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emf"/><Relationship Id="rId26" Type="http://schemas.openxmlformats.org/officeDocument/2006/relationships/image" Target="media/image13.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7.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7.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package" Target="embeddings/Microsoft_Excel_Worksheet2.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oleObject" Target="embeddings/oleObject4.bin"/><Relationship Id="rId28" Type="http://schemas.openxmlformats.org/officeDocument/2006/relationships/image" Target="media/image14.emf"/><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1.emf"/><Relationship Id="rId27" Type="http://schemas.openxmlformats.org/officeDocument/2006/relationships/package" Target="embeddings/Microsoft_Excel_Worksheet1.xlsx"/><Relationship Id="rId30" Type="http://schemas.openxmlformats.org/officeDocument/2006/relationships/image" Target="media/image15.emf"/><Relationship Id="rId35" Type="http://schemas.openxmlformats.org/officeDocument/2006/relationships/oleObject" Target="embeddings/oleObject8.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gan%20Bhasin\AppData\Local\McK%20FirmFormat%20Templates\Templates\Proposal%20or%20Form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322D7-5B50-437C-8550-2DC331FC6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or Formal Document.dotx</Template>
  <TotalTime>13090</TotalTime>
  <Pages>9</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Proposal or Formal</vt:lpstr>
    </vt:vector>
  </TitlesOfParts>
  <Company>Corporate</Company>
  <LinksUpToDate>false</LinksUpToDate>
  <CharactersWithSpaces>10119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or Formal</dc:title>
  <dc:subject>5.10-v1</dc:subject>
  <dc:creator>Kirtiman Pathak</dc:creator>
  <cp:keywords>Proposal or Formal</cp:keywords>
  <cp:lastModifiedBy>Sung.Bill</cp:lastModifiedBy>
  <cp:revision>322</cp:revision>
  <cp:lastPrinted>2015-08-11T22:55:00Z</cp:lastPrinted>
  <dcterms:created xsi:type="dcterms:W3CDTF">2016-10-21T17:51:00Z</dcterms:created>
  <dcterms:modified xsi:type="dcterms:W3CDTF">2018-07-17T21:26:00Z</dcterms:modified>
</cp:coreProperties>
</file>