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8C2FB">
      <w:pPr>
        <w:pStyle w:val="2"/>
        <w:keepNext w:val="0"/>
        <w:keepLines w:val="0"/>
        <w:widowControl/>
        <w:suppressLineNumbers w:val="0"/>
      </w:pPr>
      <w:r>
        <w:t xml:space="preserve"> 简号 8-755：迁陵县徒隶耕作文书</w:t>
      </w:r>
    </w:p>
    <w:p w14:paraId="7A5C72C3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2FBC7D33">
      <w:pPr>
        <w:pStyle w:val="2"/>
        <w:keepNext w:val="0"/>
        <w:keepLines w:val="0"/>
        <w:widowControl/>
        <w:suppressLineNumbers w:val="0"/>
      </w:pPr>
      <w:r>
        <w:t>宫宅潔：《关于里耶秦简8-755～759号与8-1564号的编联》，参考网书目/摘要：https://m.fx361.com/news/2019/1215/12973295.html；相关文书学综述见西南大学研究所：https://wxs.swu.edu.cn/info/1025/1455.htm</w:t>
      </w:r>
    </w:p>
    <w:p w14:paraId="3C07FF62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2B5BAB07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73EA322A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在线原图/研究入口：[查看本简相关论文页面](https://m.fx361.com/news/2019/1215/12973295.html)。若网页展示的是研究者制图或局部裁图，请按“论文图”引用；原简正式图版以出版物为准。</w:t>
      </w:r>
    </w:p>
    <w:p w14:paraId="28A3274C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6615704A">
      <w:pPr>
        <w:pStyle w:val="2"/>
        <w:keepNext w:val="0"/>
        <w:keepLines w:val="0"/>
        <w:widowControl/>
        <w:suppressLineNumbers w:val="0"/>
      </w:pPr>
      <w:r>
        <w:t>宫宅潔论文所引释文开头：“卅四年六月甲午朔乙卯，洞庭守礼谓迁陵丞。”下文讨论徒隶是否从事田作及迁陵县官吏的责任。此处以开头纪日和发文对象作为本简可读摘录；其余释文按论文刊载文本核录。</w:t>
      </w:r>
    </w:p>
    <w:p w14:paraId="4033F3C0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4F8BC578">
      <w:pPr>
        <w:pStyle w:val="2"/>
        <w:keepNext w:val="0"/>
        <w:keepLines w:val="0"/>
        <w:widowControl/>
        <w:suppressLineNumbers w:val="0"/>
      </w:pPr>
      <w:r>
        <w:t>简文起首记“卅四年六月甲午朔乙卯，洞庭守礼谓迁陵丞”。下文涉及徒隶田作状况及迁陵县官吏责任。</w:t>
      </w:r>
    </w:p>
    <w:p w14:paraId="5B39A67C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76796D14">
      <w:pPr>
        <w:pStyle w:val="2"/>
        <w:keepNext w:val="0"/>
        <w:keepLines w:val="0"/>
        <w:widowControl/>
        <w:suppressLineNumbers w:val="0"/>
      </w:pPr>
      <w:r>
        <w:t>简文篇首纪日及发文对象后接行政正文。原图可用于记录正文的行向、行距和篇首空白；若只参考论文横排释文，不能据此判断简面章法。</w:t>
      </w:r>
    </w:p>
    <w:p w14:paraId="506F8A9A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150B68BD">
      <w:pPr>
        <w:pStyle w:val="2"/>
        <w:keepNext w:val="0"/>
        <w:keepLines w:val="0"/>
        <w:widowControl/>
        <w:suppressLineNumbers w:val="0"/>
      </w:pPr>
      <w:r>
        <w:t>第八层木牍。宫宅潔论文可查看其所引相关图版；正式整理本将该文书列于释文第49页。该在线研究页面未列单件尺寸，简体长度、宽度和厚度不据同批材料估算。</w:t>
      </w:r>
    </w:p>
    <w:p w14:paraId="2B4A4235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374DD87A">
      <w:pPr>
        <w:pStyle w:val="2"/>
        <w:keepNext w:val="0"/>
        <w:keepLines w:val="0"/>
        <w:widowControl/>
        <w:suppressLineNumbers w:val="0"/>
      </w:pPr>
      <w:r>
        <w:t xml:space="preserve">正文围绕徒隶田作与官吏责任展开；行政流程解释依据论文论证。 </w:t>
      </w:r>
    </w:p>
    <w:p w14:paraId="6BB27208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可用作文献拼合方法教学案例。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AB76706"/>
    <w:rsid w:val="1F2C31EB"/>
    <w:rsid w:val="27E26F05"/>
    <w:rsid w:val="2A236B57"/>
    <w:rsid w:val="31144833"/>
    <w:rsid w:val="35725201"/>
    <w:rsid w:val="37CF3DFF"/>
    <w:rsid w:val="3B7F44DE"/>
    <w:rsid w:val="564E294A"/>
    <w:rsid w:val="655A5846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475</Words>
  <Characters>668</Characters>
  <Lines>0</Lines>
  <Paragraphs>0</Paragraphs>
  <TotalTime>2570</TotalTime>
  <ScaleCrop>false</ScaleCrop>
  <LinksUpToDate>false</LinksUpToDate>
  <CharactersWithSpaces>681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