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B5897">
      <w:pPr>
        <w:pStyle w:val="2"/>
        <w:keepNext w:val="0"/>
        <w:keepLines w:val="0"/>
        <w:widowControl/>
        <w:suppressLineNumbers w:val="0"/>
      </w:pPr>
      <w:r>
        <w:t xml:space="preserve"> 简号 9-1883：义陵用度文书残简</w:t>
      </w:r>
    </w:p>
    <w:p w14:paraId="180A0495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61868068">
      <w:pPr>
        <w:pStyle w:val="2"/>
        <w:keepNext w:val="0"/>
        <w:keepLines w:val="0"/>
        <w:widowControl/>
        <w:suppressLineNumbers w:val="0"/>
      </w:pPr>
      <w:r>
        <w:t>张显成、唐强：《通过里耶秦简“义陵用度简”的复原看秦代官文书的生成、传递和存档》，西南大学汉语言文献研究所：https://wxs.swu.edu.cn/info/1025/1455.htm</w:t>
      </w:r>
    </w:p>
    <w:p w14:paraId="72282676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406B8AF5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297D1450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在线原图/研究入口：[查看本简相关论文页面](https://wxs.swu.edu.cn/info/1025/1455.htm)。若网页展示的是研究者制图或局部裁图，请按“论文图”引用；原简正式图版以出版物为准。</w:t>
      </w:r>
    </w:p>
    <w:p w14:paraId="747A418A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647E1AD7">
      <w:pPr>
        <w:pStyle w:val="2"/>
        <w:keepNext w:val="0"/>
        <w:keepLines w:val="0"/>
        <w:widowControl/>
        <w:suppressLineNumbers w:val="0"/>
      </w:pPr>
      <w:r>
        <w:t>西南大学研究所文章以义陵用度文书讨论跨县公务文书的处理流程。9-1883在该文中作为档案材料编号出现；公开网页未提供足以确认本简单片全文的高清图文，本卡仅录可核的文书主题，避免把整份复原文本当成单片释文。</w:t>
      </w:r>
    </w:p>
    <w:p w14:paraId="57BF1B4D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46FC30D6">
      <w:pPr>
        <w:pStyle w:val="2"/>
        <w:keepNext w:val="0"/>
        <w:keepLines w:val="0"/>
        <w:widowControl/>
        <w:suppressLineNumbers w:val="0"/>
      </w:pPr>
      <w:r>
        <w:t xml:space="preserve">跨县文书生成、传递与归档。 </w:t>
      </w:r>
    </w:p>
    <w:p w14:paraId="6191ED7C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23B3516C">
      <w:pPr>
        <w:pStyle w:val="2"/>
        <w:keepNext w:val="0"/>
        <w:keepLines w:val="0"/>
        <w:widowControl/>
        <w:suppressLineNumbers w:val="0"/>
      </w:pPr>
      <w:r>
        <w:t>当前公开研究网页没有刊出足够清晰的本简单件图像，不能可靠评价起笔、收笔、结体或章法。正式提交时的书法描述限于原图可见的行向、字距和墨迹状况，避免以复原释文推断书风。</w:t>
      </w:r>
    </w:p>
    <w:p w14:paraId="467860F2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1E865452">
      <w:pPr>
        <w:pStyle w:val="2"/>
        <w:keepNext w:val="0"/>
        <w:keepLines w:val="0"/>
        <w:widowControl/>
        <w:suppressLineNumbers w:val="0"/>
      </w:pPr>
      <w:r>
        <w:t>第九层出土文书简。公开研究以编号讨论档案内容，未刊本件单独尺寸和完整形制信息；不以同层简牍平均值推算长宽厚。</w:t>
      </w:r>
    </w:p>
    <w:p w14:paraId="75586F3A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1F9C24AA">
      <w:pPr>
        <w:pStyle w:val="2"/>
        <w:keepNext w:val="0"/>
        <w:keepLines w:val="0"/>
        <w:widowControl/>
        <w:suppressLineNumbers w:val="0"/>
      </w:pPr>
      <w:r>
        <w:t xml:space="preserve">释读或文本复原属于整理研究成果；本卡保留考古编号，并将研究复原与简面直接可见内容区分。 </w:t>
      </w:r>
    </w:p>
    <w:p w14:paraId="12DA6B4A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从残片重建一份秦代公务往来文书，呈现文字背后的行政流程。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227125FA"/>
    <w:rsid w:val="27E26F05"/>
    <w:rsid w:val="2A236B57"/>
    <w:rsid w:val="2B2519D4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61310E03"/>
    <w:rsid w:val="655A5846"/>
    <w:rsid w:val="676625D0"/>
    <w:rsid w:val="6ED651F3"/>
    <w:rsid w:val="72712A3F"/>
    <w:rsid w:val="75C133F7"/>
    <w:rsid w:val="785F43BE"/>
    <w:rsid w:val="792C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524</Words>
  <Characters>620</Characters>
  <Lines>0</Lines>
  <Paragraphs>0</Paragraphs>
  <TotalTime>2570</TotalTime>
  <ScaleCrop>false</ScaleCrop>
  <LinksUpToDate>false</LinksUpToDate>
  <CharactersWithSpaces>632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