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EFC74">
      <w:pPr>
        <w:pStyle w:val="2"/>
        <w:keepNext w:val="0"/>
        <w:keepLines w:val="0"/>
        <w:widowControl/>
        <w:suppressLineNumbers w:val="0"/>
      </w:pPr>
      <w:r>
        <w:t xml:space="preserve"> 简号 16-6：里耶秦简木牍</w:t>
      </w:r>
    </w:p>
    <w:p w14:paraId="544AA45A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03D3C79D">
      <w:pPr>
        <w:pStyle w:val="2"/>
        <w:keepNext w:val="0"/>
        <w:keepLines w:val="0"/>
        <w:widowControl/>
        <w:suppressLineNumbers w:val="0"/>
      </w:pPr>
      <w:r>
        <w:t>出土登记号16-6，属较早公布的一批里耶秦简牍。马增荣研究本牍正面郡级命令与背面县级处理记录，并讨论文书制作及传递：[中央研究院历史语言研究所论文 PDF](https://www11.ihp.sinica.edu.tw/storage/w2_file/4532snWupUc.pdf)。</w:t>
      </w:r>
    </w:p>
    <w:p w14:paraId="29D78BDE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6C6EC100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44C318DF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在线原图/研究入口：[查看本简相关论文页面](https://www11.ihp.sinica.edu.tw/storage/w2_file/4532snWupUc.pdf)。若网页展示的是研究者制图或局部裁图，请按“论文图”引用；原简正式图版以出版物为准。</w:t>
      </w:r>
    </w:p>
    <w:p w14:paraId="4826CA28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6E59A330">
      <w:pPr>
        <w:pStyle w:val="2"/>
        <w:keepNext w:val="0"/>
        <w:keepLines w:val="0"/>
        <w:widowControl/>
        <w:suppressLineNumbers w:val="0"/>
      </w:pPr>
      <w:r>
        <w:t>马增荣论文将本牍列为洞庭郡守礼行政文书研究材料，重点讨论正面郡级指示与背面迁陵县收文、处理、转发记录。具体文字须按论文释文逐面引用；本卡仅摘录其文书内容层次，不以概述冒充全文。</w:t>
      </w:r>
    </w:p>
    <w:p w14:paraId="1CD4DDB8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356349D2">
      <w:pPr>
        <w:pStyle w:val="2"/>
        <w:keepNext w:val="0"/>
        <w:keepLines w:val="0"/>
        <w:widowControl/>
        <w:suppressLineNumbers w:val="0"/>
      </w:pPr>
      <w:r>
        <w:t>本牍正面记录郡级指示，背面记迁陵县收文、处理和转发文字。阅读时按正、背面分别转录纪日、机构、人名及传递标记，保留原行次。</w:t>
      </w:r>
    </w:p>
    <w:p w14:paraId="78C95B3D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189D4A28">
      <w:pPr>
        <w:pStyle w:val="2"/>
        <w:keepNext w:val="0"/>
        <w:keepLines w:val="0"/>
        <w:widowControl/>
        <w:suppressLineNumbers w:val="0"/>
      </w:pPr>
      <w:r>
        <w:t>马增荣论文以正面命令文字和背面县级处理记录作书写层次分析。可比较正背面字径、行距和墨色差异；这些物质差异不足以单独确定具体书写者。</w:t>
      </w:r>
    </w:p>
    <w:p w14:paraId="49B94BAF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759EF53F">
      <w:pPr>
        <w:pStyle w:val="2"/>
        <w:keepNext w:val="0"/>
        <w:keepLines w:val="0"/>
        <w:widowControl/>
        <w:suppressLineNumbers w:val="0"/>
      </w:pPr>
      <w:r>
        <w:t>形制：木牍，正面为郡级指示，背面见县级收文及处理文字。马增荣论文据正背面图版分析其物质形态；公开论文页面未列本件长宽厚，故不填写估算值。</w:t>
      </w:r>
    </w:p>
    <w:p w14:paraId="09FD228B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书写方式</w:t>
      </w:r>
    </w:p>
    <w:p w14:paraId="3AD0D2D4">
      <w:pPr>
        <w:pStyle w:val="2"/>
        <w:keepNext w:val="0"/>
        <w:keepLines w:val="0"/>
        <w:widowControl/>
        <w:suppressLineNumbers w:val="0"/>
      </w:pPr>
      <w:r>
        <w:t>该简文字呈现郡级命令到县级接收、处理的文书过程。可据背面记载的日期、处理动作和发出信息绘出流程；流程图应标注哪些节点来自简文、哪些属于研究者解释。</w:t>
      </w:r>
    </w:p>
    <w:p w14:paraId="353AA878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436856DA">
      <w:pPr>
        <w:pStyle w:val="2"/>
        <w:keepNext w:val="0"/>
        <w:keepLines w:val="0"/>
        <w:widowControl/>
        <w:suppressLineNumbers w:val="0"/>
      </w:pPr>
      <w:r>
        <w:t>让学生分别观察正面命令和背面处理记录，先比较字径、行距及书写位置，再讨论书写环节和用途，避免把“笔迹不同”直接等同于“书手不同”。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C922F2B"/>
    <w:rsid w:val="1CB6688E"/>
    <w:rsid w:val="1EE45561"/>
    <w:rsid w:val="1F2C31EB"/>
    <w:rsid w:val="1FA543D3"/>
    <w:rsid w:val="227125FA"/>
    <w:rsid w:val="24992B94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5AD77EFD"/>
    <w:rsid w:val="61310E03"/>
    <w:rsid w:val="655A5846"/>
    <w:rsid w:val="676625D0"/>
    <w:rsid w:val="6ED651F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729</Words>
  <Characters>873</Characters>
  <Lines>0</Lines>
  <Paragraphs>0</Paragraphs>
  <TotalTime>2570</TotalTime>
  <ScaleCrop>false</ScaleCrop>
  <LinksUpToDate>false</LinksUpToDate>
  <CharactersWithSpaces>884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