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638B8">
      <w:pPr>
        <w:pStyle w:val="2"/>
        <w:keepNext w:val="0"/>
        <w:keepLines w:val="0"/>
        <w:widowControl/>
        <w:suppressLineNumbers w:val="0"/>
      </w:pPr>
      <w:r>
        <w:t xml:space="preserve"> 简号 8-159：往来文书及背面记录</w:t>
      </w:r>
    </w:p>
    <w:p w14:paraId="4C2C5B2F">
      <w:pPr>
        <w:pStyle w:val="2"/>
        <w:keepNext w:val="0"/>
        <w:keepLines w:val="0"/>
        <w:widowControl/>
        <w:suppressLineNumbers w:val="0"/>
      </w:pPr>
      <w:r>
        <w:t xml:space="preserve"> 来源出处</w:t>
      </w:r>
    </w:p>
    <w:p w14:paraId="5FEADDE6">
      <w:pPr>
        <w:pStyle w:val="2"/>
        <w:keepNext w:val="0"/>
        <w:keepLines w:val="0"/>
        <w:widowControl/>
        <w:suppressLineNumbers w:val="0"/>
      </w:pPr>
      <w:r>
        <w:t>《里耶秦简（壹）》所见“往来书”的文书学考察，清华大学出土文献研究与保护中心 PDF：https://www.ctwx.tsinghua.edu.cn/__local/0/2D/E2/A59AF6EBCA12F0A129D900AFD78_D03F121D_863BC7.pdf?e=.pdf</w:t>
      </w:r>
    </w:p>
    <w:p w14:paraId="72B4BF06">
      <w:pPr>
        <w:pStyle w:val="2"/>
        <w:keepNext w:val="0"/>
        <w:keepLines w:val="0"/>
        <w:widowControl/>
        <w:suppressLineNumbers w:val="0"/>
      </w:pPr>
      <w:r>
        <w:t xml:space="preserve"> 图片</w:t>
      </w:r>
    </w:p>
    <w:p w14:paraId="09351E48">
      <w:pPr>
        <w:pStyle w:val="2"/>
        <w:keepNext w:val="0"/>
        <w:keepLines w:val="0"/>
        <w:widowControl/>
        <w:suppressLineNumbers w:val="0"/>
      </w:pPr>
      <w:r>
        <w:t>正式图版底本：湖南省文物考古研究所编《里耶秦简（壹）》（文物出版社，2012），按本卡简号查对应图版及正、背面。</w:t>
      </w:r>
    </w:p>
    <w:p w14:paraId="7A87A20A">
      <w:pPr>
        <w:pStyle w:val="2"/>
        <w:keepNext w:val="0"/>
        <w:keepLines w:val="0"/>
        <w:widowControl/>
        <w:suppressLineNumbers w:val="0"/>
      </w:pPr>
      <w:r>
        <w:t>在线原图/研究入口：[查看本简相关论文页面](https://www.ctwx.tsinghua.edu.cn/__local/0/2D/E2/A59AF6EBCA12F0A129D900AFD78_D03F121D_863BC7.pdf?e=.pdf)。若网页展示的是研究者制图或局部裁图，请按“论文图”引用；原简正式图版以出版物为准。</w:t>
      </w:r>
    </w:p>
    <w:p w14:paraId="554D2E2A">
      <w:pPr>
        <w:pStyle w:val="2"/>
        <w:keepNext w:val="0"/>
        <w:keepLines w:val="0"/>
        <w:widowControl/>
        <w:suppressLineNumbers w:val="0"/>
      </w:pPr>
      <w:r>
        <w:t xml:space="preserve"> 释文</w:t>
      </w:r>
    </w:p>
    <w:p w14:paraId="4E206241">
      <w:pPr>
        <w:pStyle w:val="2"/>
        <w:keepNext w:val="0"/>
        <w:keepLines w:val="0"/>
        <w:widowControl/>
        <w:suppressLineNumbers w:val="0"/>
      </w:pPr>
      <w:r>
        <w:t xml:space="preserve">张驰论文以本简讨论往来文书的版面布局、次生文书附写和简背收文记录。 </w:t>
      </w:r>
    </w:p>
    <w:p w14:paraId="37ADFF0E">
      <w:pPr>
        <w:pStyle w:val="2"/>
        <w:keepNext w:val="0"/>
        <w:keepLines w:val="0"/>
        <w:widowControl/>
        <w:suppressLineNumbers w:val="0"/>
      </w:pPr>
      <w:r>
        <w:t xml:space="preserve"> 文字</w:t>
      </w:r>
    </w:p>
    <w:p w14:paraId="1567EFE9">
      <w:pPr>
        <w:pStyle w:val="2"/>
        <w:keepNext w:val="0"/>
        <w:keepLines w:val="0"/>
        <w:widowControl/>
        <w:suppressLineNumbers w:val="0"/>
      </w:pPr>
      <w:r>
        <w:t xml:space="preserve">行政往来文书、收文记录与文书附写层次。 </w:t>
      </w:r>
    </w:p>
    <w:p w14:paraId="7600114E">
      <w:pPr>
        <w:pStyle w:val="2"/>
        <w:keepNext w:val="0"/>
        <w:keepLines w:val="0"/>
        <w:widowControl/>
        <w:suppressLineNumbers w:val="0"/>
      </w:pPr>
      <w:r>
        <w:t xml:space="preserve"> 书法</w:t>
      </w:r>
    </w:p>
    <w:p w14:paraId="167B31A8">
      <w:pPr>
        <w:pStyle w:val="2"/>
        <w:keepNext w:val="0"/>
        <w:keepLines w:val="0"/>
        <w:widowControl/>
        <w:suppressLineNumbers w:val="0"/>
      </w:pPr>
      <w:r>
        <w:t>张驰以文书主体、背面收文记录和后续附写讨论本简版面。书法分析可分别记录各书写区的方向、字距和墨色；区分正文书写与后续记录，不将层次差异笼统称作风格变化。</w:t>
      </w:r>
    </w:p>
    <w:p w14:paraId="13F8F743">
      <w:pPr>
        <w:pStyle w:val="2"/>
        <w:keepNext w:val="0"/>
        <w:keepLines w:val="0"/>
        <w:widowControl/>
        <w:suppressLineNumbers w:val="0"/>
      </w:pPr>
      <w:r>
        <w:t xml:space="preserve"> 简牍形制</w:t>
      </w:r>
    </w:p>
    <w:p w14:paraId="7F394C0E">
      <w:pPr>
        <w:pStyle w:val="2"/>
        <w:keepNext w:val="0"/>
        <w:keepLines w:val="0"/>
        <w:widowControl/>
        <w:suppressLineNumbers w:val="0"/>
      </w:pPr>
      <w:r>
        <w:t>第八层文书简。张驰论文以简面布局及背面收文记录分析其文书用途；具体长宽厚和各处残损情况应按《里耶秦简（壹）》图版著录，在线论文未列单件尺寸。</w:t>
      </w:r>
    </w:p>
    <w:p w14:paraId="44093DA8">
      <w:pPr>
        <w:pStyle w:val="2"/>
        <w:keepNext w:val="0"/>
        <w:keepLines w:val="0"/>
        <w:widowControl/>
        <w:suppressLineNumbers w:val="0"/>
      </w:pPr>
      <w:r>
        <w:t xml:space="preserve"> 书写方式</w:t>
      </w:r>
    </w:p>
    <w:p w14:paraId="72C46237">
      <w:pPr>
        <w:pStyle w:val="2"/>
        <w:keepNext w:val="0"/>
        <w:keepLines w:val="0"/>
        <w:widowControl/>
        <w:suppressLineNumbers w:val="0"/>
      </w:pPr>
      <w:r>
        <w:t xml:space="preserve">次生记录可能挤压原有版面；释文应注明正背、原文/附记及阅读顺序。 </w:t>
      </w:r>
    </w:p>
    <w:p w14:paraId="639DECC9">
      <w:pPr>
        <w:pStyle w:val="2"/>
        <w:keepNext w:val="0"/>
        <w:keepLines w:val="0"/>
        <w:widowControl/>
        <w:suppressLineNumbers w:val="0"/>
      </w:pPr>
      <w:r>
        <w:t xml:space="preserve"> 美育价值</w:t>
      </w:r>
    </w:p>
    <w:p w14:paraId="253685B1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t>让学生理解书写版面会随文书流转继续变化。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F550EC"/>
    <w:rsid w:val="1F2C31EB"/>
    <w:rsid w:val="2A236B57"/>
    <w:rsid w:val="31144833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815</Words>
  <Characters>981</Characters>
  <Lines>0</Lines>
  <Paragraphs>0</Paragraphs>
  <TotalTime>2570</TotalTime>
  <ScaleCrop>false</ScaleCrop>
  <LinksUpToDate>false</LinksUpToDate>
  <CharactersWithSpaces>993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