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73FE7">
      <w:pPr>
        <w:pStyle w:val="2"/>
        <w:keepNext w:val="0"/>
        <w:keepLines w:val="0"/>
        <w:widowControl/>
        <w:suppressLineNumbers w:val="0"/>
      </w:pPr>
      <w:r>
        <w:t xml:space="preserve"> 简号 8-453：医方简</w:t>
      </w:r>
    </w:p>
    <w:p w14:paraId="33C91088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4218BB32">
      <w:pPr>
        <w:pStyle w:val="2"/>
        <w:keepNext w:val="0"/>
        <w:keepLines w:val="0"/>
        <w:widowControl/>
        <w:suppressLineNumbers w:val="0"/>
      </w:pPr>
      <w:r>
        <w:t>周波：《里耶秦简（贰）医方校读》，复旦大学出土文献与古文字研究中心：https://fdgwz.org.cn/Web/Show/4409</w:t>
      </w:r>
    </w:p>
    <w:p w14:paraId="09C619D2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75828A9F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47528ABE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在线原图/研究入口：[查看本简相关论文页面](https://fdgwz.org.cn/Web/Show/4409)。若网页展示的是研究者制图或局部裁图，请按“论文图”引用；原简正式图版以出版物为准。</w:t>
      </w:r>
    </w:p>
    <w:p w14:paraId="2B7B39A4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298C716A">
      <w:pPr>
        <w:pStyle w:val="2"/>
        <w:keepNext w:val="0"/>
        <w:keepLines w:val="0"/>
        <w:widowControl/>
        <w:suppressLineNumbers w:val="0"/>
      </w:pPr>
      <w:r>
        <w:t>周波《里耶秦简（贰）医方校读》以8-453的“销”字作字形对照。现有在线页面可确认其医方研究用途及该字例；本卡只摘录“销”这一校读焦点，不把相关研究中的其他医方误作本简全文。</w:t>
      </w:r>
    </w:p>
    <w:p w14:paraId="393916E5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4AC3EDE9">
      <w:pPr>
        <w:pStyle w:val="2"/>
        <w:keepNext w:val="0"/>
        <w:keepLines w:val="0"/>
        <w:widowControl/>
        <w:suppressLineNumbers w:val="0"/>
      </w:pPr>
      <w:r>
        <w:t xml:space="preserve">医药方书词汇、药物名和疑难字形。 </w:t>
      </w:r>
    </w:p>
    <w:p w14:paraId="7FC54E6F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13C3ED7E">
      <w:pPr>
        <w:pStyle w:val="2"/>
        <w:keepNext w:val="0"/>
        <w:keepLines w:val="0"/>
        <w:widowControl/>
        <w:suppressLineNumbers w:val="0"/>
      </w:pPr>
      <w:r>
        <w:t>周波选取本简“销”字作文字校读比较。书法观察可落实到该字的构件写法、笔画连带和局部简省；校读页面为字形讨论入口，不能据其文字说明替代高清图上的具体笔画观察。</w:t>
      </w:r>
    </w:p>
    <w:p w14:paraId="100F001D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124DA53D">
      <w:pPr>
        <w:pStyle w:val="2"/>
        <w:keepNext w:val="0"/>
        <w:keepLines w:val="0"/>
        <w:widowControl/>
        <w:suppressLineNumbers w:val="0"/>
      </w:pPr>
      <w:r>
        <w:t>第八层出土医方简。周波在线校读文章以本简字形作比较，但没有给出长宽厚、端部或编绳痕数据；这些形制项目以《里耶秦简（壹）》正式图版和简注为准。</w:t>
      </w:r>
    </w:p>
    <w:p w14:paraId="678E2CC6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02E3DE7C">
      <w:pPr>
        <w:pStyle w:val="2"/>
        <w:keepNext w:val="0"/>
        <w:keepLines w:val="0"/>
        <w:widowControl/>
        <w:suppressLineNumbers w:val="0"/>
      </w:pPr>
      <w:r>
        <w:t xml:space="preserve">本简涉及医方内容；药名、剂量及配伍关系应以图版和研究释文为据，疑读须注明，不以现代药名径自改写。 </w:t>
      </w:r>
    </w:p>
    <w:p w14:paraId="5A9C3A04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53685B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t>将书法、古文字和秦代医学知识结合；适合介绍文字如何服务实用知识。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550EC"/>
    <w:rsid w:val="10EE53A0"/>
    <w:rsid w:val="1AB76706"/>
    <w:rsid w:val="1F2C31EB"/>
    <w:rsid w:val="27E26F05"/>
    <w:rsid w:val="2A236B57"/>
    <w:rsid w:val="31144833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510</Words>
  <Characters>590</Characters>
  <Lines>0</Lines>
  <Paragraphs>0</Paragraphs>
  <TotalTime>2570</TotalTime>
  <ScaleCrop>false</ScaleCrop>
  <LinksUpToDate>false</LinksUpToDate>
  <CharactersWithSpaces>602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