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63AEE">
      <w:pPr>
        <w:pStyle w:val="2"/>
        <w:keepNext w:val="0"/>
        <w:keepLines w:val="0"/>
        <w:widowControl/>
        <w:suppressLineNumbers w:val="0"/>
      </w:pPr>
      <w:r>
        <w:t xml:space="preserve"> 简号 8-532：从人文书残简</w:t>
      </w:r>
    </w:p>
    <w:p w14:paraId="1E2C0BDB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22D0AFC0">
      <w:pPr>
        <w:pStyle w:val="2"/>
        <w:keepNext w:val="0"/>
        <w:keepLines w:val="0"/>
        <w:widowControl/>
        <w:suppressLineNumbers w:val="0"/>
      </w:pPr>
      <w:r>
        <w:t>《里耶秦简中的“从人”简》，《文史哲》2020年第3期 PDF：https://www.lhp.sdu.edu.cn/__local/1/26/0E/2B9E90910BDAF6B8AD5A62C3924_F9487A03_685368.pdf</w:t>
      </w:r>
    </w:p>
    <w:p w14:paraId="440EDA0B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0D4490C2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6E43F744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在线原图/研究入口：[查看本简相关论文页面](https://www.lhp.sdu.edu.cn/__local/1/26/0E/2B9E90910BDAF6B8AD5A62C3924_F9487A03_685368.pdf)。若网页展示的是研究者制图或局部裁图，请按“论文图”引用；原简正式图版以出版物为准。</w:t>
      </w:r>
    </w:p>
    <w:p w14:paraId="2339455B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5FC08B15">
      <w:pPr>
        <w:pStyle w:val="2"/>
        <w:keepNext w:val="0"/>
        <w:keepLines w:val="0"/>
        <w:widowControl/>
        <w:suppressLineNumbers w:val="0"/>
      </w:pPr>
      <w:r>
        <w:t>逐字释文及异读以所列正式整理本为准。</w:t>
      </w:r>
    </w:p>
    <w:p w14:paraId="4999C448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文字</w:t>
      </w:r>
    </w:p>
    <w:p w14:paraId="359A8A2B">
      <w:pPr>
        <w:pStyle w:val="2"/>
        <w:keepNext w:val="0"/>
        <w:keepLines w:val="0"/>
        <w:widowControl/>
        <w:suppressLineNumbers w:val="0"/>
      </w:pPr>
      <w:r>
        <w:t xml:space="preserve">秦代对代地“从人”的行政文书，涉及文书时间和政令内容考释。 </w:t>
      </w:r>
    </w:p>
    <w:p w14:paraId="65C9910A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47C8CFE6">
      <w:pPr>
        <w:pStyle w:val="2"/>
        <w:keepNext w:val="0"/>
        <w:keepLines w:val="0"/>
        <w:widowControl/>
        <w:suppressLineNumbers w:val="0"/>
      </w:pPr>
      <w:r>
        <w:t>研究指出简文中“从人”语句及纪年字词有释读问题。观察时可将存疑字的残笔、构件间距与相邻清晰字对照；不把释文中的通行字形当作简面原字。</w:t>
      </w:r>
    </w:p>
    <w:p w14:paraId="2880F59A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4DEA6979">
      <w:pPr>
        <w:pStyle w:val="2"/>
        <w:keepNext w:val="0"/>
        <w:keepLines w:val="0"/>
        <w:widowControl/>
        <w:suppressLineNumbers w:val="0"/>
      </w:pPr>
      <w:r>
        <w:t>第八层出土文书简。研究文章未列单件长宽厚或端部记录；本卡不根据同类简推算尺寸，形制以《里耶秦简（壹）》相应图版著录。</w:t>
      </w:r>
    </w:p>
    <w:p w14:paraId="223CC0FD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637BA434">
      <w:pPr>
        <w:pStyle w:val="2"/>
        <w:keepNext w:val="0"/>
        <w:keepLines w:val="0"/>
        <w:widowControl/>
        <w:suppressLineNumbers w:val="0"/>
      </w:pPr>
      <w:r>
        <w:t xml:space="preserve">多片合读并区分正、背两面；释读中的补字、通假和断句均需标注。 </w:t>
      </w:r>
    </w:p>
    <w:p w14:paraId="2F5484F4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0B0033A4">
      <w:pPr>
        <w:pStyle w:val="2"/>
        <w:keepNext w:val="0"/>
        <w:keepLines w:val="0"/>
        <w:widowControl/>
        <w:suppressLineNumbers w:val="0"/>
      </w:pPr>
      <w:r>
        <w:t>适合展示古文字考释中“可读部分”和“存疑部分”并存。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AB76706"/>
    <w:rsid w:val="1F2C31EB"/>
    <w:rsid w:val="27E26F05"/>
    <w:rsid w:val="2A236B57"/>
    <w:rsid w:val="31144833"/>
    <w:rsid w:val="35725201"/>
    <w:rsid w:val="37CF3DFF"/>
    <w:rsid w:val="564E294A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485</Words>
  <Characters>678</Characters>
  <Lines>0</Lines>
  <Paragraphs>0</Paragraphs>
  <TotalTime>2570</TotalTime>
  <ScaleCrop>false</ScaleCrop>
  <LinksUpToDate>false</LinksUpToDate>
  <CharactersWithSpaces>691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