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0F34F">
      <w:pPr>
        <w:pStyle w:val="2"/>
        <w:keepNext w:val="0"/>
        <w:keepLines w:val="0"/>
        <w:widowControl/>
        <w:suppressLineNumbers w:val="0"/>
      </w:pPr>
      <w:r>
        <w:t xml:space="preserve"> 简号 8-759：迁陵县徒隶耕作文书</w:t>
      </w:r>
    </w:p>
    <w:p w14:paraId="438AA402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54DF2D37">
      <w:pPr>
        <w:pStyle w:val="2"/>
        <w:keepNext w:val="0"/>
        <w:keepLines w:val="0"/>
        <w:widowControl/>
        <w:suppressLineNumbers w:val="0"/>
      </w:pPr>
      <w:r>
        <w:t>宫宅潔：《关于里耶秦简8-755～759号与8-1564号的编联》；https://m.fx361.com/news/2019/1215/12973295.html</w:t>
      </w:r>
    </w:p>
    <w:p w14:paraId="568C2823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177CDFBD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715531BA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在线原图/研究入口：[查看本简相关论文页面](https://m.fx361.com/news/2019/1215/12973295.html)。若网页展示的是研究者制图或局部裁图，请按“论文图”引用；原简正式图版以出版物为准。</w:t>
      </w:r>
    </w:p>
    <w:p w14:paraId="249FA880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469C874F">
      <w:pPr>
        <w:pStyle w:val="2"/>
        <w:keepNext w:val="0"/>
        <w:keepLines w:val="0"/>
        <w:widowControl/>
        <w:suppressLineNumbers w:val="0"/>
      </w:pPr>
      <w:r>
        <w:t>宫宅潔论文所引本简末段释文：“它如前书律令。／七月甲子朔癸酉，洞庭假守繹追迁陵。／歇手。”原文中的斜线和“手”标记用于区分文书层次；摘录保留这些结构信息。</w:t>
      </w:r>
    </w:p>
    <w:p w14:paraId="0796E058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 文字</w:t>
      </w:r>
    </w:p>
    <w:p w14:paraId="2A53CE1A">
      <w:pPr>
        <w:pStyle w:val="2"/>
        <w:keepNext w:val="0"/>
        <w:keepLines w:val="0"/>
        <w:widowControl/>
        <w:suppressLineNumbers w:val="0"/>
      </w:pPr>
      <w:r>
        <w:t>简文末段：“它如前书律令。／七月甲子朔癸酉，洞庭假守繹追迁陵。／歇手。”斜线与书手标记呈现公文末尾信息层次。</w:t>
      </w:r>
    </w:p>
    <w:p w14:paraId="34A48593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10E2D1D6">
      <w:pPr>
        <w:pStyle w:val="2"/>
        <w:keepNext w:val="0"/>
        <w:keepLines w:val="0"/>
        <w:widowControl/>
        <w:suppressLineNumbers w:val="0"/>
      </w:pPr>
      <w:r>
        <w:t>末段有日期、“追迁陵”及“歇手”记录。原图中可观察正文与末尾记录的位置、字距和行向；这些版面特征比笼统的“行书”标签更适合作为书法描述。</w:t>
      </w:r>
    </w:p>
    <w:p w14:paraId="59E88D63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379526BC">
      <w:pPr>
        <w:pStyle w:val="2"/>
        <w:keepNext w:val="0"/>
        <w:keepLines w:val="0"/>
        <w:widowControl/>
        <w:suppressLineNumbers w:val="0"/>
      </w:pPr>
      <w:r>
        <w:t>第八层木牍。宫宅潔论文引用该简文，但在线页面未提供可核实的长宽厚数据；形制记录应以《里耶秦简（壹）》原图的简端和简面为准。</w:t>
      </w:r>
    </w:p>
    <w:p w14:paraId="162444F8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74CD84BA">
      <w:pPr>
        <w:pStyle w:val="2"/>
        <w:keepNext w:val="0"/>
        <w:keepLines w:val="0"/>
        <w:widowControl/>
        <w:suppressLineNumbers w:val="0"/>
      </w:pPr>
      <w:r>
        <w:t xml:space="preserve">复原释文时保存原行款，另附便读顺序，不覆盖原始排列。 </w:t>
      </w:r>
    </w:p>
    <w:p w14:paraId="6EAB54D3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397B8E1F">
      <w:pPr>
        <w:pStyle w:val="2"/>
        <w:keepNext w:val="0"/>
        <w:keepLines w:val="0"/>
        <w:widowControl/>
        <w:suppressLineNumbers w:val="0"/>
      </w:pPr>
      <w:r>
        <w:t>可用于观察文字材料从器物到现代释文的整理过程。</w:t>
      </w:r>
    </w:p>
    <w:p w14:paraId="253685B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2AE58E4"/>
    <w:rsid w:val="1AB76706"/>
    <w:rsid w:val="1F2C31EB"/>
    <w:rsid w:val="27E26F05"/>
    <w:rsid w:val="2A236B57"/>
    <w:rsid w:val="2B4567A9"/>
    <w:rsid w:val="31144833"/>
    <w:rsid w:val="35725201"/>
    <w:rsid w:val="37CF3DFF"/>
    <w:rsid w:val="3B7F44DE"/>
    <w:rsid w:val="46B92C24"/>
    <w:rsid w:val="564E294A"/>
    <w:rsid w:val="655A5846"/>
    <w:rsid w:val="6ED651F3"/>
    <w:rsid w:val="785F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483</Words>
  <Characters>600</Characters>
  <Lines>0</Lines>
  <Paragraphs>0</Paragraphs>
  <TotalTime>2570</TotalTime>
  <ScaleCrop>false</ScaleCrop>
  <LinksUpToDate>false</LinksUpToDate>
  <CharactersWithSpaces>611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