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015D5">
      <w:pPr>
        <w:pStyle w:val="2"/>
        <w:keepNext w:val="0"/>
        <w:keepLines w:val="0"/>
        <w:widowControl/>
        <w:suppressLineNumbers w:val="0"/>
      </w:pPr>
      <w:r>
        <w:t xml:space="preserve"> 简号 9-1893：义陵用度文书残简</w:t>
      </w:r>
    </w:p>
    <w:p w14:paraId="04049E3F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58E4A974">
      <w:pPr>
        <w:pStyle w:val="2"/>
        <w:keepNext w:val="0"/>
        <w:keepLines w:val="0"/>
        <w:widowControl/>
        <w:suppressLineNumbers w:val="0"/>
      </w:pPr>
      <w:r>
        <w:t>张显成、唐强：《通过里耶秦简“义陵用度简”的复原看秦代官文书的生成、传递和存档》，西南大学汉语言文献研究所：https://wxs.swu.edu.cn/info/1025/1455.htm</w:t>
      </w:r>
    </w:p>
    <w:p w14:paraId="16A0B1E4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0B861871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3C776A16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在线原图/研究入口：[查看本简相关论文页面](https://wxs.swu.edu.cn/info/1025/1455.htm)。若网页展示的是研究者制图或局部裁图，请按“论文图”引用；原简正式图版以出版物为准。</w:t>
      </w:r>
    </w:p>
    <w:p w14:paraId="21691015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48CD811E">
      <w:pPr>
        <w:pStyle w:val="2"/>
        <w:keepNext w:val="0"/>
        <w:keepLines w:val="0"/>
        <w:widowControl/>
        <w:suppressLineNumbers w:val="0"/>
      </w:pPr>
      <w:r>
        <w:t>西南大学研究所文章讨论义陵用度文书的多次处理和县级行政传递。9-1893作为档案材料编号见于该研究；现有公开页面未刊出本简完整单片释文，故本卡以研究者的文书性质概述为限，不补造缺文。</w:t>
      </w:r>
    </w:p>
    <w:p w14:paraId="0153F784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5E21CD00">
      <w:pPr>
        <w:pStyle w:val="2"/>
        <w:keepNext w:val="0"/>
        <w:keepLines w:val="0"/>
        <w:widowControl/>
        <w:suppressLineNumbers w:val="0"/>
      </w:pPr>
      <w:r>
        <w:t xml:space="preserve">义陵用度公文的组合结构和存档。 </w:t>
      </w:r>
    </w:p>
    <w:p w14:paraId="1311E663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5A949B11">
      <w:pPr>
        <w:pStyle w:val="2"/>
        <w:keepNext w:val="0"/>
        <w:keepLines w:val="0"/>
        <w:widowControl/>
        <w:suppressLineNumbers w:val="0"/>
      </w:pPr>
      <w:r>
        <w:t>在线研究主要讨论文书处理流程，没有提供足以逐字分析该件书风的清晰单简图像。书法观察以馆藏原图中可见的行向、字距、笔画粗细为限；缺少图像证据时不判定书手或风格。</w:t>
      </w:r>
    </w:p>
    <w:p w14:paraId="32EE6D4C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30BC7EFD">
      <w:pPr>
        <w:pStyle w:val="2"/>
        <w:keepNext w:val="0"/>
        <w:keepLines w:val="0"/>
        <w:widowControl/>
        <w:suppressLineNumbers w:val="0"/>
      </w:pPr>
      <w:r>
        <w:t>第九层出土文书简。当前公开网页未提供本简可核的单件尺寸；端部、正背面和残损范围应据《里耶秦简（贰）》或馆藏图版书记录。</w:t>
      </w:r>
    </w:p>
    <w:p w14:paraId="0C2CA6AB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332BEC4B">
      <w:pPr>
        <w:pStyle w:val="2"/>
        <w:keepNext w:val="0"/>
        <w:keepLines w:val="0"/>
        <w:widowControl/>
        <w:suppressLineNumbers w:val="0"/>
      </w:pPr>
      <w:r>
        <w:t xml:space="preserve">流程复原依据日期、收文记录、书手和文书内容；各推论应标来源。 </w:t>
      </w:r>
    </w:p>
    <w:p w14:paraId="07585DC2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3685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帮助学生理解一件文书可能在流转中逐步形成。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F2C31EB"/>
    <w:rsid w:val="227125FA"/>
    <w:rsid w:val="27E26F05"/>
    <w:rsid w:val="2A236B57"/>
    <w:rsid w:val="2B2519D4"/>
    <w:rsid w:val="2B4567A9"/>
    <w:rsid w:val="31144833"/>
    <w:rsid w:val="35725201"/>
    <w:rsid w:val="35AA0AC7"/>
    <w:rsid w:val="369D6F2B"/>
    <w:rsid w:val="37CF3DFF"/>
    <w:rsid w:val="3B7F44DE"/>
    <w:rsid w:val="46B92C24"/>
    <w:rsid w:val="484E235A"/>
    <w:rsid w:val="564E294A"/>
    <w:rsid w:val="5AD77EFD"/>
    <w:rsid w:val="61310E03"/>
    <w:rsid w:val="655A5846"/>
    <w:rsid w:val="676625D0"/>
    <w:rsid w:val="6ED651F3"/>
    <w:rsid w:val="72712A3F"/>
    <w:rsid w:val="75C133F7"/>
    <w:rsid w:val="785F43BE"/>
    <w:rsid w:val="792C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525</Words>
  <Characters>621</Characters>
  <Lines>0</Lines>
  <Paragraphs>0</Paragraphs>
  <TotalTime>2570</TotalTime>
  <ScaleCrop>false</ScaleCrop>
  <LinksUpToDate>false</LinksUpToDate>
  <CharactersWithSpaces>633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