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CC19F">
      <w:pPr>
        <w:pStyle w:val="2"/>
        <w:keepNext w:val="0"/>
        <w:keepLines w:val="0"/>
        <w:widowControl/>
        <w:suppressLineNumbers w:val="0"/>
      </w:pPr>
      <w:r>
        <w:t xml:space="preserve"> 简号 9-2469：义陵用度文书残简</w:t>
      </w:r>
    </w:p>
    <w:p w14:paraId="7CD7BEE0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52905A46">
      <w:pPr>
        <w:pStyle w:val="2"/>
        <w:keepNext w:val="0"/>
        <w:keepLines w:val="0"/>
        <w:widowControl/>
        <w:suppressLineNumbers w:val="0"/>
      </w:pPr>
      <w:r>
        <w:t>张显成、唐强：《通过里耶秦简“义陵用度简”的复原看秦代官文书的生成、传递和存档》，西南大学汉语言文献研究所：https://wxs.swu.edu.cn/info/1025/1455.htm</w:t>
      </w:r>
    </w:p>
    <w:p w14:paraId="565AE177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4C2A0ED0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71F03783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在线原图/研究入口：[查看本简相关论文页面](https://wxs.swu.edu.cn/info/1025/1455.htm)。若网页展示的是研究者制图或局部裁图，请按“论文图”引用；原简正式图版以出版物为准。</w:t>
      </w:r>
    </w:p>
    <w:p w14:paraId="4C37A1C8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9B524AE">
      <w:pPr>
        <w:pStyle w:val="2"/>
        <w:keepNext w:val="0"/>
        <w:keepLines w:val="0"/>
        <w:widowControl/>
        <w:suppressLineNumbers w:val="0"/>
      </w:pPr>
      <w:r>
        <w:t>西南大学研究所文章将9-2469列入义陵用度文书档案研究，讨论其与行政传递、追报记录相关的材料价值。公开网页没有提供可安全逐字转录的单片完整释文；本卡以该文的材料说明为据，释字不作推补。</w:t>
      </w:r>
    </w:p>
    <w:p w14:paraId="36556D9A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671816A6">
      <w:pPr>
        <w:pStyle w:val="2"/>
        <w:keepNext w:val="0"/>
        <w:keepLines w:val="0"/>
        <w:widowControl/>
        <w:suppressLineNumbers w:val="0"/>
      </w:pPr>
      <w:r>
        <w:t xml:space="preserve">文书追报与跨县传送。 </w:t>
      </w:r>
    </w:p>
    <w:p w14:paraId="65F313CE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276896A5">
      <w:pPr>
        <w:pStyle w:val="2"/>
        <w:keepNext w:val="0"/>
        <w:keepLines w:val="0"/>
        <w:widowControl/>
        <w:suppressLineNumbers w:val="0"/>
      </w:pPr>
      <w:r>
        <w:t>所引研究的重点为文书档案内容，公开页面未呈现可供笔法判断的单简高清图。具体书法描述应在正式图版上落实为字径、行向、笔画保存情况；本卡不作无依据的风格归类。</w:t>
      </w:r>
    </w:p>
    <w:p w14:paraId="5A23F7DA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61A8ED46">
      <w:pPr>
        <w:pStyle w:val="2"/>
        <w:keepNext w:val="0"/>
        <w:keepLines w:val="0"/>
        <w:widowControl/>
        <w:suppressLineNumbers w:val="0"/>
      </w:pPr>
      <w:r>
        <w:t>第九层出土文书简。所引档案研究网页未载本件单独形制数据；长宽厚、简端和残损以《里耶秦简（贰）》及馆藏彩色/红外图版核对。</w:t>
      </w:r>
    </w:p>
    <w:p w14:paraId="434AB504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3537BEB4">
      <w:pPr>
        <w:pStyle w:val="2"/>
        <w:keepNext w:val="0"/>
        <w:keepLines w:val="0"/>
        <w:widowControl/>
        <w:suppressLineNumbers w:val="0"/>
      </w:pPr>
      <w:r>
        <w:t xml:space="preserve">多次递送/追报构成文书链条，文本释读宜按时间排序而非只按出土号。 </w:t>
      </w:r>
    </w:p>
    <w:p w14:paraId="1B690F96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可做“编号顺序和文书发生顺序”差异的案例。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1FA543D3"/>
    <w:rsid w:val="227125FA"/>
    <w:rsid w:val="24992B94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659</Words>
  <Characters>808</Characters>
  <Lines>0</Lines>
  <Paragraphs>0</Paragraphs>
  <TotalTime>2570</TotalTime>
  <ScaleCrop>false</ScaleCrop>
  <LinksUpToDate>false</LinksUpToDate>
  <CharactersWithSpaces>820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