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38429">
      <w:pPr>
        <w:pStyle w:val="2"/>
        <w:keepNext w:val="0"/>
        <w:keepLines w:val="0"/>
        <w:widowControl/>
        <w:suppressLineNumbers w:val="0"/>
      </w:pPr>
      <w:r>
        <w:t xml:space="preserve"> 简号 9-2471：义陵用度文书残简</w:t>
      </w:r>
    </w:p>
    <w:p w14:paraId="2ED090C8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5403ECD2">
      <w:pPr>
        <w:pStyle w:val="2"/>
        <w:keepNext w:val="0"/>
        <w:keepLines w:val="0"/>
        <w:widowControl/>
        <w:suppressLineNumbers w:val="0"/>
      </w:pPr>
      <w:r>
        <w:t>张显成、唐强：《通过里耶秦简“义陵用度简”的复原看秦代官文书的生成、传递和存档》，西南大学汉语言文献研究所：https://wxs.swu.edu.cn/info/1025/1455.htm</w:t>
      </w:r>
    </w:p>
    <w:p w14:paraId="3D27CAAF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1B5BDF00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4A43A7B4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在线原图/研究入口：[查看本简相关论文页面](https://wxs.swu.edu.cn/info/1025/1455.htm)。若网页展示的是研究者制图或局部裁图，请按“论文图”引用；原简正式图版以出版物为准。</w:t>
      </w:r>
    </w:p>
    <w:p w14:paraId="609F5E36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9274B6B">
      <w:pPr>
        <w:pStyle w:val="2"/>
        <w:keepNext w:val="0"/>
        <w:keepLines w:val="0"/>
        <w:widowControl/>
        <w:suppressLineNumbers w:val="0"/>
      </w:pPr>
      <w:r>
        <w:t>西南大学研究所文章以义陵用度文书说明秦代官文书的生成、传递与存档，并列及9-2471这一出土编号。公开网页未提供本简单独的全幅高清图和完整释文，本卡仅记录可由该文支持的主题性信息。</w:t>
      </w:r>
    </w:p>
    <w:p w14:paraId="7F1E1171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1B79AAEB">
      <w:pPr>
        <w:pStyle w:val="2"/>
        <w:keepNext w:val="0"/>
        <w:keepLines w:val="0"/>
        <w:widowControl/>
        <w:suppressLineNumbers w:val="0"/>
      </w:pPr>
      <w:r>
        <w:t xml:space="preserve">文书流程及归档形态。 </w:t>
      </w:r>
    </w:p>
    <w:p w14:paraId="6E4AD77F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22ECD694">
      <w:pPr>
        <w:pStyle w:val="2"/>
        <w:keepNext w:val="0"/>
        <w:keepLines w:val="0"/>
        <w:widowControl/>
        <w:suppressLineNumbers w:val="0"/>
      </w:pPr>
      <w:r>
        <w:t>公开研究主要用于确认本简的档案研究语境，单简原图的细部不在所引网页中清晰展示。书法评论限于正式图版可直接观察的行款、字距和残墨情况，不据释文断定书风。</w:t>
      </w:r>
    </w:p>
    <w:p w14:paraId="0107B72B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24BBE0C6">
      <w:pPr>
        <w:pStyle w:val="2"/>
        <w:keepNext w:val="0"/>
        <w:keepLines w:val="0"/>
        <w:widowControl/>
        <w:suppressLineNumbers w:val="0"/>
      </w:pPr>
      <w:r>
        <w:t>第九层出土文书简。公开研究网页未提供本件单独尺寸和完整形制表；本卡不推测材质、长宽厚或残损细节。</w:t>
      </w:r>
    </w:p>
    <w:p w14:paraId="3D0F975B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28D961B9">
      <w:pPr>
        <w:pStyle w:val="2"/>
        <w:keepNext w:val="0"/>
        <w:keepLines w:val="0"/>
        <w:widowControl/>
        <w:suppressLineNumbers w:val="0"/>
      </w:pPr>
      <w:r>
        <w:t xml:space="preserve">按考古出土编号著录；研究者释读和修订注明作者、出处及版本。 </w:t>
      </w:r>
    </w:p>
    <w:p w14:paraId="00577F6D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展示释文是可修订的学术成果。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CB6688E"/>
    <w:rsid w:val="1F2C31EB"/>
    <w:rsid w:val="1FA543D3"/>
    <w:rsid w:val="227125FA"/>
    <w:rsid w:val="24992B94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592</Characters>
  <Lines>0</Lines>
  <Paragraphs>0</Paragraphs>
  <TotalTime>2570</TotalTime>
  <ScaleCrop>false</ScaleCrop>
  <LinksUpToDate>false</LinksUpToDate>
  <CharactersWithSpaces>604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