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B30E7">
      <w:pPr>
        <w:pStyle w:val="2"/>
        <w:keepNext w:val="0"/>
        <w:keepLines w:val="0"/>
        <w:widowControl/>
        <w:suppressLineNumbers w:val="0"/>
      </w:pPr>
      <w:r>
        <w:t xml:space="preserve"> 简号 9-712：往来公文简</w:t>
      </w:r>
    </w:p>
    <w:p w14:paraId="7186BCE1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0518F868">
      <w:pPr>
        <w:pStyle w:val="2"/>
        <w:keepNext w:val="0"/>
        <w:keepLines w:val="0"/>
        <w:widowControl/>
        <w:suppressLineNumbers w:val="0"/>
      </w:pPr>
      <w:r>
        <w:t>《里耶秦简（壹）》所见“往来书”的文书学考察，清华大学出土文献研究与保护中心 PDF：https://www.ctwx.tsinghua.edu.cn/__local/0/2D/E2/A59AF6EBCA12F0A129D900AFD78_D03F121D_863BC7.pdf?e=.pdf</w:t>
      </w:r>
    </w:p>
    <w:p w14:paraId="6F1DC132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7B12301E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6D8619A8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ww.ctwx.tsinghua.edu.cn/__local/0/2D/E2/A59AF6EBCA12F0A129D900AFD78_D03F121D_863BC7.pdf?e=.pdf)。若网页展示的是研究者制图或局部裁图，请按“论文图”引用；原简正式图版以出版物为准。</w:t>
      </w:r>
    </w:p>
    <w:p w14:paraId="1B718E43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4913C29A">
      <w:pPr>
        <w:pStyle w:val="2"/>
        <w:keepNext w:val="0"/>
        <w:keepLines w:val="0"/>
        <w:widowControl/>
        <w:suppressLineNumbers w:val="0"/>
      </w:pPr>
      <w:r>
        <w:t>张驰论文讨论的释文含“还陵”“西阳”等地名及往来传送记录；新整理图版将有关材料作为一件连续文书释读。本卡摘录地名与收发文书主题，具体行款、正背面及释文符号依论文图版和《里耶秦简博物馆藏秦简》核对。</w:t>
      </w:r>
    </w:p>
    <w:p w14:paraId="0B4DBA47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0DD88034">
      <w:pPr>
        <w:pStyle w:val="2"/>
        <w:keepNext w:val="0"/>
        <w:keepLines w:val="0"/>
        <w:widowControl/>
        <w:suppressLineNumbers w:val="0"/>
      </w:pPr>
      <w:r>
        <w:t xml:space="preserve">地方公文传递与往来报文。 </w:t>
      </w:r>
    </w:p>
    <w:p w14:paraId="4BFF0D05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035918B4">
      <w:pPr>
        <w:pStyle w:val="2"/>
        <w:keepNext w:val="0"/>
        <w:keepLines w:val="0"/>
        <w:widowControl/>
        <w:suppressLineNumbers w:val="0"/>
      </w:pPr>
      <w:r>
        <w:t>张驰论文将文书主体与收发记录分层讨论。观察重点为正文和附加记录的行向、字距、字径及墨色差异；区分版面分区与单字笔法，不从横排释文判断章法。</w:t>
      </w:r>
    </w:p>
    <w:p w14:paraId="62ADE4CF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62FBA1DA">
      <w:pPr>
        <w:pStyle w:val="2"/>
        <w:keepNext w:val="0"/>
        <w:keepLines w:val="0"/>
        <w:widowControl/>
        <w:suppressLineNumbers w:val="0"/>
      </w:pPr>
      <w:r>
        <w:t>第九层出土文书简。张驰论文讨论其往来文书内容和正背面记录，但未列本件单独尺寸；具体简端、正背墨迹和残损按正式馆藏图版核验。</w:t>
      </w:r>
    </w:p>
    <w:p w14:paraId="7F3D8461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25416DF8">
      <w:pPr>
        <w:pStyle w:val="2"/>
        <w:keepNext w:val="0"/>
        <w:keepLines w:val="0"/>
        <w:widowControl/>
        <w:suppressLineNumbers w:val="0"/>
      </w:pPr>
      <w:r>
        <w:t xml:space="preserve">该文书由若干短报文和收发记录组成，按正背面及时间顺序记录。 </w:t>
      </w:r>
    </w:p>
    <w:p w14:paraId="600895A9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可将版面阅读与秦代邮传流程结合。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227125FA"/>
    <w:rsid w:val="27E26F05"/>
    <w:rsid w:val="2A236B57"/>
    <w:rsid w:val="2B2519D4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61310E03"/>
    <w:rsid w:val="655A5846"/>
    <w:rsid w:val="6ED651F3"/>
    <w:rsid w:val="72712A3F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467</Words>
  <Characters>583</Characters>
  <Lines>0</Lines>
  <Paragraphs>0</Paragraphs>
  <TotalTime>2570</TotalTime>
  <ScaleCrop>false</ScaleCrop>
  <LinksUpToDate>false</LinksUpToDate>
  <CharactersWithSpaces>595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