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B3147F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简号 8-157：除邮人文书</w:t>
      </w:r>
    </w:p>
    <w:p w14:paraId="602F18A7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771F1B9B">
      <w:pPr>
        <w:pStyle w:val="2"/>
        <w:keepNext w:val="0"/>
        <w:keepLines w:val="0"/>
        <w:widowControl/>
        <w:suppressLineNumbers w:val="0"/>
      </w:pPr>
      <w:r>
        <w:t>《里耶秦简（壹）》所见简号8-157；讨论秦代地方行政文书原件、批转与存档形态的论文以此为例。西南大学汉语言文献研究所文章列出相关研究与释读分歧：[“义陵用度简”复原与文书档案研究](https://wxs.swu.edu.cn/info/1025/1455.htm)。</w:t>
      </w:r>
    </w:p>
    <w:p w14:paraId="6D5DF2C4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3DF73B2B">
      <w:pPr>
        <w:pStyle w:val="2"/>
        <w:keepNext w:val="0"/>
        <w:keepLines w:val="0"/>
        <w:widowControl/>
        <w:suppressLineNumbers w:val="0"/>
      </w:pPr>
      <w:r>
        <w:t>正式彩色/红外图版：湖南省文物考古研究所编《里耶秦简（壹）》对应图版。在线可查看[8-157正背面数字摹本与释文](https://ebag2007.blogspot.com/2025/06/202506028-157.html)；该网页提供的是摹本，不是原始照片。另见[西南大学研究综述](https://wxs.swu.edu.cn/info/1025/1455.htm)。</w:t>
      </w:r>
    </w:p>
    <w:p w14:paraId="5DB664C3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6D9C4A38">
      <w:pPr>
        <w:pStyle w:val="2"/>
        <w:keepNext w:val="0"/>
        <w:keepLines w:val="0"/>
        <w:widowControl/>
        <w:suppressLineNumbers w:val="0"/>
      </w:pPr>
      <w:r>
        <w:t>《里耶秦简牍校释（第一卷）》第94页所录释文（正面节录）：“卅二年正月戊寅朔甲午，启陵乡夫敢言之：成里典、启陵邮人缺。除士五（伍）成里匄、成为典，匄为邮人，谒令尉以从事。敢言之。”背面节录：“正月戊戌日中，守府快行。正月丁酉旦食时，隶妾冉以来。欣发。壬手。”释文符号及正背面分行据该校释本；在线摹本用于核对，正式图版仍以出版物为准。</w:t>
      </w:r>
    </w:p>
    <w:p w14:paraId="5876AB8F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78957952">
      <w:pPr>
        <w:pStyle w:val="2"/>
        <w:keepNext w:val="0"/>
        <w:keepLines w:val="0"/>
        <w:widowControl/>
        <w:suppressLineNumbers w:val="0"/>
      </w:pPr>
      <w:r>
        <w:t>关键文字包括“成里典”“启陵邮人”“匄为邮人”等任命语，以及背面的“守府快行”“隶妾冉以来”“欣发”“壬手”。正面请示、县廷批复与背面收发记录须分层释读；简文还记录启陵二十七户已有一典的行政背景。</w:t>
      </w:r>
    </w:p>
    <w:p w14:paraId="7977F94D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539DE7DC">
      <w:pPr>
        <w:pStyle w:val="2"/>
        <w:keepNext w:val="0"/>
        <w:keepLines w:val="0"/>
        <w:widowControl/>
        <w:suppressLineNumbers w:val="0"/>
      </w:pPr>
      <w:r>
        <w:t>本简正面以请示正文为主，背面有批复及收发记录，呈现多个书写区。可比较正文、批复和背面短记号的字径、行距、墨色及行向；在线数字摹本可辅助辨认版面，但笔法细节必须回到原始照片。</w:t>
      </w:r>
    </w:p>
    <w:p w14:paraId="500FDA85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2327689F">
      <w:pPr>
        <w:pStyle w:val="2"/>
        <w:keepNext w:val="0"/>
        <w:keepLines w:val="0"/>
        <w:widowControl/>
        <w:suppressLineNumbers w:val="0"/>
      </w:pPr>
      <w:r>
        <w:t>行政文书简，相关研究以正面请示和后续处理文字讨论文书形态。所引在线文章未给出单件尺寸；长宽厚及端部保存情况以《里耶秦简（壹）》原图和简注为据。</w:t>
      </w:r>
    </w:p>
    <w:p w14:paraId="42B3A342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7A4B013F">
      <w:pPr>
        <w:pStyle w:val="2"/>
        <w:keepNext w:val="0"/>
        <w:keepLines w:val="0"/>
        <w:widowControl/>
        <w:suppressLineNumbers w:val="0"/>
      </w:pPr>
      <w:r>
        <w:t>正面为启陵乡请示，随后记县廷批复及任命处理，背面又有递送、收文和书手记录。序列依据纪日及“敢言之”“却之”“以律令”等文书语句建立；这比单看释文横排次序更能呈现实际办文步骤。</w:t>
      </w:r>
    </w:p>
    <w:p w14:paraId="29BDBE3E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3771A746">
      <w:pPr>
        <w:pStyle w:val="2"/>
        <w:keepNext w:val="0"/>
        <w:keepLines w:val="0"/>
        <w:widowControl/>
        <w:suppressLineNumbers w:val="0"/>
      </w:pPr>
      <w:r>
        <w:t>- 可将正面请示、县廷批复和背面递送记录分区描摹，再对照释文复原行政流程。课堂讨论聚焦“书写位置与文书功能如何对应”，避免把不同书写区拼成一段连续正文。</w:t>
      </w:r>
    </w:p>
    <w:p w14:paraId="6A4C477F">
      <w:pPr>
        <w:pStyle w:val="2"/>
        <w:keepNext w:val="0"/>
        <w:keepLines w:val="0"/>
        <w:widowControl/>
        <w:suppressLineNumbers w:val="0"/>
      </w:pPr>
      <w:r>
        <w:t>- 课堂问题：如果发现同一简上笔迹不同，如何区分“书手变化”和“字体异体”？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1144833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765</Words>
  <Characters>1006</Characters>
  <Lines>0</Lines>
  <Paragraphs>0</Paragraphs>
  <TotalTime>2570</TotalTime>
  <ScaleCrop>false</ScaleCrop>
  <LinksUpToDate>false</LinksUpToDate>
  <CharactersWithSpaces>1018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