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67AD9">
      <w:pPr>
        <w:pStyle w:val="2"/>
        <w:keepNext w:val="0"/>
        <w:keepLines w:val="0"/>
        <w:widowControl/>
        <w:suppressLineNumbers w:val="0"/>
      </w:pPr>
      <w:r>
        <w:t xml:space="preserve"> 简号 8-757：迁陵县徒隶耕作文书</w:t>
      </w:r>
    </w:p>
    <w:p w14:paraId="79C89029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4F290C40">
      <w:pPr>
        <w:pStyle w:val="2"/>
        <w:keepNext w:val="0"/>
        <w:keepLines w:val="0"/>
        <w:widowControl/>
        <w:suppressLineNumbers w:val="0"/>
      </w:pPr>
      <w:r>
        <w:t>宫宅潔：《关于里耶秦简8-755～759号与8-1564号的编联》；https://m.fx361.com/news/2019/1215/12973295.html</w:t>
      </w:r>
    </w:p>
    <w:p w14:paraId="27309457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59320595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0B22E6C9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在线原图/研究入口：[查看本简相关论文页面](https://m.fx361.com/news/2019/1215/12973295.html)。若网页展示的是研究者制图或局部裁图，请按“论文图”引用；原简正式图版以出版物为准。</w:t>
      </w:r>
    </w:p>
    <w:p w14:paraId="64B7B855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22447A7E">
      <w:pPr>
        <w:pStyle w:val="2"/>
        <w:keepNext w:val="0"/>
        <w:keepLines w:val="0"/>
        <w:widowControl/>
        <w:suppressLineNumbers w:val="0"/>
      </w:pPr>
      <w:r>
        <w:t>宫宅潔论文所引释文片段：“徒少及毋徒，簿移治虏御史，以均予。”文意涉及徒隶数量不足时的簿籍移送和调配；“簿”等字的释读采用论文文本，释文符号应连同原论文校注引用。</w:t>
      </w:r>
    </w:p>
    <w:p w14:paraId="06E008C0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5FE3E665">
      <w:pPr>
        <w:pStyle w:val="2"/>
        <w:keepNext w:val="0"/>
        <w:keepLines w:val="0"/>
        <w:widowControl/>
        <w:suppressLineNumbers w:val="0"/>
      </w:pPr>
      <w:r>
        <w:t>简文片段：“徒少及毋徒，簿移治虏御史，以均予。”重点词语涉及徒隶名簿、移送和人员调配；保留原释文，不按现代语义改字。</w:t>
      </w:r>
    </w:p>
    <w:p w14:paraId="113C7ACA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书法</w:t>
      </w:r>
    </w:p>
    <w:p w14:paraId="50EA408A">
      <w:pPr>
        <w:pStyle w:val="2"/>
        <w:keepNext w:val="0"/>
        <w:keepLines w:val="0"/>
        <w:widowControl/>
        <w:suppressLineNumbers w:val="0"/>
      </w:pPr>
      <w:r>
        <w:t>简文有徒隶名簿与移送调配的行政用语。可在原图中观察短词组的间距和同一行政字的写法；释文断句不是原简的标点，书法描述应以行款为准。</w:t>
      </w:r>
    </w:p>
    <w:p w14:paraId="3A974A00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62965433">
      <w:pPr>
        <w:pStyle w:val="2"/>
        <w:keepNext w:val="0"/>
        <w:keepLines w:val="0"/>
        <w:widowControl/>
        <w:suppressLineNumbers w:val="0"/>
      </w:pPr>
      <w:r>
        <w:t>第八层木牍。所引论文提供文字与文书内容讨论，但未给出本件长宽厚；简端保存、正背面和墨迹分布需据正式图版观察。</w:t>
      </w:r>
    </w:p>
    <w:p w14:paraId="65304524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262B760F">
      <w:pPr>
        <w:pStyle w:val="2"/>
        <w:keepNext w:val="0"/>
        <w:keepLines w:val="0"/>
        <w:widowControl/>
        <w:suppressLineNumbers w:val="0"/>
      </w:pPr>
      <w:r>
        <w:t xml:space="preserve">释文保留出土编号、异读及缺字标记，并注明版本。 </w:t>
      </w:r>
    </w:p>
    <w:p w14:paraId="12B93113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1A3AD6">
      <w:pPr>
        <w:pStyle w:val="2"/>
        <w:keepNext w:val="0"/>
        <w:keepLines w:val="0"/>
        <w:widowControl/>
        <w:suppressLineNumbers w:val="0"/>
      </w:pPr>
      <w:r>
        <w:t>适合做“物理顺序与阅读顺序是否一致”的讨论。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AB76706"/>
    <w:rsid w:val="1F2C31EB"/>
    <w:rsid w:val="27E26F05"/>
    <w:rsid w:val="2A236B57"/>
    <w:rsid w:val="2B4567A9"/>
    <w:rsid w:val="31144833"/>
    <w:rsid w:val="35725201"/>
    <w:rsid w:val="37CF3DFF"/>
    <w:rsid w:val="3B7F44DE"/>
    <w:rsid w:val="564E294A"/>
    <w:rsid w:val="655A5846"/>
    <w:rsid w:val="6ED651F3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500</Words>
  <Characters>615</Characters>
  <Lines>0</Lines>
  <Paragraphs>0</Paragraphs>
  <TotalTime>2570</TotalTime>
  <ScaleCrop>false</ScaleCrop>
  <LinksUpToDate>false</LinksUpToDate>
  <CharactersWithSpaces>626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