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D3D58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简号 8-315：文书残简</w:t>
      </w:r>
    </w:p>
    <w:p w14:paraId="7A041E29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0ED4DC8">
      <w:pPr>
        <w:pStyle w:val="2"/>
        <w:keepNext w:val="0"/>
        <w:keepLines w:val="0"/>
        <w:widowControl/>
        <w:suppressLineNumbers w:val="0"/>
      </w:pPr>
      <w:r>
        <w:t>石原遼平：《里耶秦簡8-315・8-868の綴合・釈読覚書》，东京外国语大学亚非语言文化研究所网页：https://www.aa.tufs.ac.jp/~Ejina/note/note40%28Ishihara%29.html</w:t>
      </w:r>
    </w:p>
    <w:p w14:paraId="56E320F3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136D671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2D274C5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在线原图/研究入口：[查看本简相关论文页面](https://www.aa.tufs.ac.jp/~Ejina/note/note40%28Ishihara%29.html)。若网页展示的是研究者制图或局部裁图，请按“论文图”引用；原简正式图版以出版物为准。</w:t>
      </w:r>
    </w:p>
    <w:p w14:paraId="1C0C8FED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27A13596">
      <w:pPr>
        <w:pStyle w:val="2"/>
        <w:keepNext w:val="0"/>
        <w:keepLines w:val="0"/>
        <w:widowControl/>
        <w:suppressLineNumbers w:val="0"/>
      </w:pPr>
      <w:r>
        <w:t>石原遼平页面列出的既有释文为：“當□□書可獄治□□〼”。□表示原简缺损或未能释读，〼表示简文残缺；该页面另提出个别字的校读意见。此处保留该条旧释文作可核对的摘录，不把争议字补成确定文字。</w:t>
      </w:r>
    </w:p>
    <w:p w14:paraId="1A4CAA1F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37442205">
      <w:pPr>
        <w:pStyle w:val="2"/>
        <w:keepNext w:val="0"/>
        <w:keepLines w:val="0"/>
        <w:widowControl/>
        <w:suppressLineNumbers w:val="0"/>
      </w:pPr>
      <w:r>
        <w:t xml:space="preserve">研究焦点为字形释读及断简形态判断，具体释读见石原遼平所列研究。 </w:t>
      </w:r>
    </w:p>
    <w:p w14:paraId="50D8EC9D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310A2C7">
      <w:pPr>
        <w:pStyle w:val="2"/>
        <w:keepNext w:val="0"/>
        <w:keepLines w:val="0"/>
        <w:widowControl/>
        <w:suppressLineNumbers w:val="0"/>
      </w:pPr>
      <w:r>
        <w:t>原简状态较差，研究者对一字的释读提出改读。观察应集中在该字残存笔画的转折、笔画间距及残损边界；不可将网页标注的校改笔迹当成原始墨迹，也不据残字概括全简书风。</w:t>
      </w:r>
    </w:p>
    <w:p w14:paraId="1A801370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2AB2906">
      <w:pPr>
        <w:pStyle w:val="2"/>
        <w:keepNext w:val="0"/>
        <w:keepLines w:val="0"/>
        <w:widowControl/>
        <w:suppressLineNumbers w:val="0"/>
      </w:pPr>
      <w:r>
        <w:t>木质简牍残简，石原遼平指出简体上下端均有残断可能。论文页面展示了据《里耶秦简（壹）》图版加工的局部图，可据此观察端部不整及文字残缺；尺寸未在该文公布。</w:t>
      </w:r>
    </w:p>
    <w:p w14:paraId="7FD5942B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0C94A689">
      <w:pPr>
        <w:pStyle w:val="2"/>
        <w:keepNext w:val="0"/>
        <w:keepLines w:val="0"/>
        <w:widowControl/>
        <w:suppressLineNumbers w:val="0"/>
      </w:pPr>
      <w:r>
        <w:t>简面文字有缺损，释文中的缺字符号表示材料边界。研究者对个别字的校读属于释读意见，应与可直接辨认的原墨迹分栏记录。</w:t>
      </w:r>
    </w:p>
    <w:p w14:paraId="597DE9E6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7BFA3942">
      <w:pPr>
        <w:pStyle w:val="2"/>
        <w:keepNext w:val="0"/>
        <w:keepLines w:val="0"/>
        <w:widowControl/>
        <w:suppressLineNumbers w:val="0"/>
      </w:pPr>
      <w:r>
        <w:t>观察要点：把断口形态、木纹走向和字行连续性作为材料描述，再对照论文解释，不以文意相近单独下结论。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550EC"/>
    <w:rsid w:val="1AB76706"/>
    <w:rsid w:val="1F2C31EB"/>
    <w:rsid w:val="2A236B57"/>
    <w:rsid w:val="31144833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445</Words>
  <Characters>661</Characters>
  <Lines>0</Lines>
  <Paragraphs>0</Paragraphs>
  <TotalTime>2570</TotalTime>
  <ScaleCrop>false</ScaleCrop>
  <LinksUpToDate>false</LinksUpToDate>
  <CharactersWithSpaces>675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