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A3A41">
      <w:pPr>
        <w:pStyle w:val="2"/>
        <w:keepNext w:val="0"/>
        <w:keepLines w:val="0"/>
        <w:widowControl/>
        <w:suppressLineNumbers w:val="0"/>
      </w:pPr>
      <w:r>
        <w:t xml:space="preserve"> 简号 8-758：迁陵县徒隶耕作文书</w:t>
      </w:r>
    </w:p>
    <w:p w14:paraId="77625B65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673157A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宫宅潔：《关于里耶秦简8-755～759号与8-1564号的编联》；https://m.fx361.com/news/2019/1215/12973295.html</w:t>
      </w:r>
    </w:p>
    <w:p w14:paraId="4825D101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0AFC1B47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64017B82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087C5949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2FA895A8">
      <w:pPr>
        <w:pStyle w:val="2"/>
        <w:keepNext w:val="0"/>
        <w:keepLines w:val="0"/>
        <w:widowControl/>
        <w:suppressLineNumbers w:val="0"/>
      </w:pPr>
      <w:r>
        <w:t>宫宅潔论文所引释文片段：“今迁陵廿五年为县，廿九年田，廿六年尽廿八年当田。”该段记迁陵设县与田作年份，是讨论当地农业开发及行政责任的重要文字。断句依论文所引释文，非依据现代句意重新标点。</w:t>
      </w:r>
    </w:p>
    <w:p w14:paraId="724FFF1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文字</w:t>
      </w:r>
    </w:p>
    <w:p w14:paraId="32DAF217">
      <w:pPr>
        <w:pStyle w:val="2"/>
        <w:keepNext w:val="0"/>
        <w:keepLines w:val="0"/>
        <w:widowControl/>
        <w:suppressLineNumbers w:val="0"/>
      </w:pPr>
      <w:r>
        <w:t>简文记：“今迁陵廿五年为县，廿九年田，廿六年尽廿八年当田。”文字涉及迁陵设县和当地田作年代。</w:t>
      </w:r>
    </w:p>
    <w:p w14:paraId="4929D61A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78066FF0">
      <w:pPr>
        <w:pStyle w:val="2"/>
        <w:keepNext w:val="0"/>
        <w:keepLines w:val="0"/>
        <w:widowControl/>
        <w:suppressLineNumbers w:val="0"/>
      </w:pPr>
      <w:r>
        <w:t>“廿五年”“廿九年”等纪年数字集中出现，可比较数字与“县”“田”等字的字形比例、笔画空间和行内节奏。不得把释文所加逗号当作原简章法。</w:t>
      </w:r>
    </w:p>
    <w:p w14:paraId="626AB8FC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56B37AE7">
      <w:pPr>
        <w:pStyle w:val="2"/>
        <w:keepNext w:val="0"/>
        <w:keepLines w:val="0"/>
        <w:widowControl/>
        <w:suppressLineNumbers w:val="0"/>
      </w:pPr>
      <w:r>
        <w:t>第八层木牍。公开研究未列本件单独尺寸；其简面行款及残损状况以《里耶秦简（壹）》正式图版核录，不从相邻编号推断形制。</w:t>
      </w:r>
    </w:p>
    <w:p w14:paraId="3C835D15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63701C80">
      <w:pPr>
        <w:pStyle w:val="2"/>
        <w:keepNext w:val="0"/>
        <w:keepLines w:val="0"/>
        <w:widowControl/>
        <w:suppressLineNumbers w:val="0"/>
      </w:pPr>
      <w:r>
        <w:t xml:space="preserve">将原简编号与复原后的阅读次序分别标注，避免混淆。 </w:t>
      </w:r>
    </w:p>
    <w:p w14:paraId="03C9BD9F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1D0E4271">
      <w:pPr>
        <w:pStyle w:val="2"/>
        <w:keepNext w:val="0"/>
        <w:keepLines w:val="0"/>
        <w:widowControl/>
        <w:suppressLineNumbers w:val="0"/>
      </w:pPr>
      <w:r>
        <w:t>直观展示简册阅读次序是如何通过证据重建的。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7E26F05"/>
    <w:rsid w:val="2A236B57"/>
    <w:rsid w:val="2B4567A9"/>
    <w:rsid w:val="31144833"/>
    <w:rsid w:val="35725201"/>
    <w:rsid w:val="37CF3DFF"/>
    <w:rsid w:val="3B7F44DE"/>
    <w:rsid w:val="564E294A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480</Words>
  <Characters>595</Characters>
  <Lines>0</Lines>
  <Paragraphs>0</Paragraphs>
  <TotalTime>2570</TotalTime>
  <ScaleCrop>false</ScaleCrop>
  <LinksUpToDate>false</LinksUpToDate>
  <CharactersWithSpaces>606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