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9D087">
      <w:pPr>
        <w:pStyle w:val="2"/>
        <w:keepNext w:val="0"/>
        <w:keepLines w:val="0"/>
        <w:widowControl/>
        <w:suppressLineNumbers w:val="0"/>
      </w:pPr>
      <w:r>
        <w:t xml:space="preserve"> 简号 8-756：迁陵县徒隶耕作文书</w:t>
      </w:r>
    </w:p>
    <w:p w14:paraId="0E2F58D5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17FEFB3B">
      <w:pPr>
        <w:pStyle w:val="2"/>
        <w:keepNext w:val="0"/>
        <w:keepLines w:val="0"/>
        <w:widowControl/>
        <w:suppressLineNumbers w:val="0"/>
      </w:pPr>
      <w:r>
        <w:t>宫宅潔：《关于里耶秦简8-755～759号与8-1564号的编联》；https://m.fx361.com/news/2019/1215/12973295.html</w:t>
      </w:r>
    </w:p>
    <w:p w14:paraId="67C37D95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457FD851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61C9F0B5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在线原图/研究入口：[查看本简相关论文页面](https://m.fx361.com/news/2019/1215/12973295.html)。若网页展示的是研究者制图或局部裁图，请按“论文图”引用；原简正式图版以出版物为准。</w:t>
      </w:r>
    </w:p>
    <w:p w14:paraId="09BD8958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33842FC1">
      <w:pPr>
        <w:pStyle w:val="2"/>
        <w:keepNext w:val="0"/>
        <w:keepLines w:val="0"/>
        <w:widowControl/>
        <w:suppressLineNumbers w:val="0"/>
      </w:pPr>
      <w:r>
        <w:t>宫宅潔论文所引本简文字片段：“耐为司寇，有书。壬手。令曰：吏仆、养、走、工、组四人。”论文释文中的重文、通假及标点按原文保留；摘录用于呈现文书条款与书手标记，不以今译替代原文。</w:t>
      </w:r>
    </w:p>
    <w:p w14:paraId="52B61E9E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 文字</w:t>
      </w:r>
    </w:p>
    <w:p w14:paraId="135FB266">
      <w:pPr>
        <w:pStyle w:val="2"/>
        <w:keepNext w:val="0"/>
        <w:keepLines w:val="0"/>
        <w:widowControl/>
        <w:suppressLineNumbers w:val="0"/>
      </w:pPr>
      <w:r>
        <w:t>简文片段：“耐为司寇，有书。壬手。令曰：吏仆、养、走、工、组四人。”涉及服役人员类别与人数，并保留“壬手”标记。</w:t>
      </w:r>
    </w:p>
    <w:p w14:paraId="10EB8C5E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20028D65">
      <w:pPr>
        <w:pStyle w:val="2"/>
        <w:keepNext w:val="0"/>
        <w:keepLines w:val="0"/>
        <w:widowControl/>
        <w:suppressLineNumbers w:val="0"/>
      </w:pPr>
      <w:r>
        <w:t>摘录可见“壬手”标记与“令曰”引出的条款。比较这两处的字径、行距及落笔位置，可观察标记文字与正文条款的视觉区分；“手”不等于已知书手姓名。</w:t>
      </w:r>
    </w:p>
    <w:p w14:paraId="33265A44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4207E609">
      <w:pPr>
        <w:pStyle w:val="2"/>
        <w:keepNext w:val="0"/>
        <w:keepLines w:val="0"/>
        <w:widowControl/>
        <w:suppressLineNumbers w:val="0"/>
      </w:pPr>
      <w:r>
        <w:t>第八层木牍，按简号可在《里耶秦简（壹）》对应图版核对简端、简面及墨迹位置。宫宅潔在线论文未列本件单独尺寸；本卡不以整册平均尺寸替代。</w:t>
      </w:r>
    </w:p>
    <w:p w14:paraId="47DB1019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0DC9FE33">
      <w:pPr>
        <w:pStyle w:val="2"/>
        <w:keepNext w:val="0"/>
        <w:keepLines w:val="0"/>
        <w:widowControl/>
        <w:suppressLineNumbers w:val="0"/>
      </w:pPr>
      <w:r>
        <w:t xml:space="preserve">释文中的通假、补字和缺文应照录并注明所据版本。 </w:t>
      </w:r>
    </w:p>
    <w:p w14:paraId="39E7E7FE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2DBAA394">
      <w:pPr>
        <w:pStyle w:val="2"/>
        <w:keepNext w:val="0"/>
        <w:keepLines w:val="0"/>
        <w:widowControl/>
        <w:suppressLineNumbers w:val="0"/>
      </w:pPr>
      <w:r>
        <w:t>展示研究者如何在残片中恢复原始文本次序。</w:t>
      </w:r>
    </w:p>
    <w:p w14:paraId="253685B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AB76706"/>
    <w:rsid w:val="1F2C31EB"/>
    <w:rsid w:val="27E26F05"/>
    <w:rsid w:val="2A236B57"/>
    <w:rsid w:val="2B4567A9"/>
    <w:rsid w:val="31144833"/>
    <w:rsid w:val="35725201"/>
    <w:rsid w:val="37CF3DFF"/>
    <w:rsid w:val="3B7F44DE"/>
    <w:rsid w:val="564E294A"/>
    <w:rsid w:val="655A5846"/>
    <w:rsid w:val="785F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518</Words>
  <Characters>674</Characters>
  <Lines>0</Lines>
  <Paragraphs>0</Paragraphs>
  <TotalTime>2570</TotalTime>
  <ScaleCrop>false</ScaleCrop>
  <LinksUpToDate>false</LinksUpToDate>
  <CharactersWithSpaces>685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