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8-13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8-13，属里耶古城一号井第八层（J1⑧）材料。《里耶秦简牍校释》第一卷著录于第 31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8-13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31 页释文，照录（〼 表示未释或残断）：</w:t>
      </w:r>
    </w:p>
    <w:p>
      <w:pPr>
        <w:pStyle w:val="2"/>
      </w:pPr>
      <w:r>
        <w:t>皆当为禁钱□［1］〼</w:t>
      </w:r>
    </w:p>
    <w:p>
      <w:pPr>
        <w:pStyle w:val="2"/>
      </w:pPr>
      <w:r>
        <w:t xml:space="preserve"> 文字</w:t>
      </w:r>
    </w:p>
    <w:p>
      <w:pPr>
        <w:pStyle w:val="2"/>
      </w:pPr>
      <w:r>
        <w:t>《校释》本条注释（第 31 页）涉及字词考释，原文照录：</w:t>
      </w:r>
    </w:p>
    <w:p>
      <w:pPr>
        <w:pStyle w:val="2"/>
      </w:pPr>
      <w:r>
        <w:t>多字：</w:t>
      </w:r>
    </w:p>
    <w:p>
      <w:pPr>
        <w:pStyle w:val="2"/>
      </w:pPr>
      <w:r>
        <w:t>[1]《汉书·贾捐之传》：“暴师曾未一年，兵出不逾千里，费四十余万万，大司农钱尽，乃以少府禁钱续之。”颜师古注：“少府钱主供天子，故曰禁钱。”《后汉书·百官志三》：“承秦，凡山泽陂池之税，名曰禁钱，属少府。”简文“禁钱”或与有关。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「禁钱」──少府供天子之钱，属山泽之税。从「禁钱」看秦代财政的「公私之分」。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- 01原始资料/第一卷(500)修改(2).xlsx：8-13（第90行）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