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8-52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8-52，属里耶古城一号井第八层（J1⑧）材料。《里耶秦简牍校释》第一卷著录于第 41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8-52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41 页释文，照录（〼 表示未释或残断）：</w:t>
      </w:r>
    </w:p>
    <w:p>
      <w:pPr>
        <w:pStyle w:val="2"/>
      </w:pPr>
      <w:r>
        <w:t>廷主吏发［1］。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41 页）涉及字词考释，原文照录：</w:t>
      </w:r>
    </w:p>
    <w:p>
      <w:pPr>
        <w:pStyle w:val="2"/>
      </w:pPr>
      <w:r>
        <w:t>多字：</w:t>
      </w:r>
    </w:p>
    <w:p>
      <w:pPr>
        <w:pStyle w:val="2"/>
      </w:pPr>
      <w:r>
        <w:t>[1]主吏，秦汉郡县长官的属吏。《史记·高祖本纪》：“沛中豪桀吏闻令有重客，皆往贺。萧何为主吏，主进。”裴骃集解引孟康曰：“主吏，功曹也。”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- 01原始资料/第一卷(500)修改(2).xlsx：8-52（第129行）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