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8-70+8-1913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8-70+8-1913，属里耶古城一号井第八层（J1⑧）材料。《里耶秦简牍校释》第一卷著录于第 54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8-70+8-1913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54 页释文，照录（〼 表示未释或残断）：</w:t>
      </w:r>
    </w:p>
    <w:p>
      <w:pPr>
        <w:pStyle w:val="2"/>
      </w:pPr>
      <w:r>
        <w:t>〼□□□□□    □□□□□……〼Ⅰ</w:t>
      </w:r>
    </w:p>
    <w:p>
      <w:pPr>
        <w:pStyle w:val="2"/>
      </w:pPr>
      <w:r>
        <w:t>〼勿令缪失，以纵、不直论［1］，有令［2］〼Ⅱ</w:t>
      </w:r>
    </w:p>
    <w:p>
      <w:pPr>
        <w:pStyle w:val="2"/>
      </w:pPr>
      <w:r>
        <w:t>Ⅰ</w:t>
      </w:r>
    </w:p>
    <w:p>
      <w:pPr>
        <w:pStyle w:val="2"/>
      </w:pPr>
      <w:r>
        <w:t>列削削［3］Ⅱ（背）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54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纵，《汉书·景武昭宣元功臣表》新畤侯赵弟“太始三年为太常鞠狱不实”注引晋灼曰：“出罪为故纵。”不直，《汉书·景武昭宣元功臣表》注：“入罪为故不直。”《法律答问》93号简云：“论狱何谓‘不直’？何谓‘纵囚’？罪当重而端轻之，当轻而端重之，是谓‘不直’。当论而端弗论，及偒其狱，端令不致，论出之，是谓‘纵囚’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>《校释》本条注释（第 54 页）涉及笔迹与字体，原文照录：</w:t>
      </w:r>
    </w:p>
    <w:p>
      <w:pPr>
        <w:pStyle w:val="2"/>
      </w:pPr>
      <w:r>
        <w:t>[3]背面为习字简。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54 页）涉及形制与缀合，原文照录：</w:t>
      </w:r>
    </w:p>
    <w:p>
      <w:pPr>
        <w:pStyle w:val="2"/>
      </w:pPr>
      <w:r>
        <w:t>[2]8-70、8-1913二片缀合后断裂处茬口吻合，字迹相同，当可缀合。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- 01原始资料/第一卷(500)修改(2).xlsx：8-70（第147行）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