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5-22，属里耶古城一号井第五层（J1⑤）材料。《里耶秦简牍校释》第一卷著录于第 13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13 页释文，照录（〼 表示未释或残断）：</w:t>
      </w:r>
    </w:p>
    <w:p>
      <w:pPr>
        <w:pStyle w:val="2"/>
      </w:pPr>
      <w:r>
        <w:t>狱东曹书一封［1］，丞印［2］，诣无阳［3］。·九月己亥水下三刻［4］，□□以来［5］。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13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[3]诣，前往、到。《史记·孝文本纪》：“乃命宋昌参乘，张武等六人乘传诣长安。”这里指送达书信的目的地。无阳，县名，《汉书·地理志》属武陵郡，县治约在今湖南芷江侗族自治县东北。</w:t>
      </w:r>
    </w:p>
    <w:p>
      <w:pPr>
        <w:pStyle w:val="2"/>
      </w:pPr>
      <w:r>
        <w:t>多字：</w:t>
      </w:r>
    </w:p>
    <w:p>
      <w:pPr>
        <w:pStyle w:val="2"/>
      </w:pPr>
      <w:r>
        <w:t>[5]原释文以为简末有缺文。今按：8-1154有相似表述，可知此简文完整。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13 页）涉及形制与缀合，原文照录：</w:t>
      </w:r>
    </w:p>
    <w:p>
      <w:pPr>
        <w:pStyle w:val="2"/>
      </w:pPr>
      <w:r>
        <w:t>[2]印，印章，简文是说封泥上加盖丞印。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13 页）涉及文书运转与书写，原文照录：</w:t>
      </w:r>
    </w:p>
    <w:p>
      <w:pPr>
        <w:pStyle w:val="2"/>
      </w:pPr>
      <w:r>
        <w:t>[1]狱东曹，治狱机构。封，文书移送时需要封缄，引申指封缄的书信。</w:t>
      </w:r>
    </w:p>
    <w:p>
      <w:pPr>
        <w:pStyle w:val="2"/>
      </w:pPr>
      <w:r>
        <w:t>[4]水下三刻，纪时用语。李学勤先生根据初步发表的里耶简牍资料指出：所记漏刻皆指白昼。即将一昼分为十一刻，刻于漏壶箭上，视箭沉下几刻。与汉代“昼夜百刻”的漏制比较，是很原始的2。张春龙先生、龙京沙先生披露另有简文云“夜水下四刻”，显示漏壶有昼夜之别3。胡平生先生认为秦时白天、黑夜各有11刻，一昼夜有22刻4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「狱东曹书一封，丞印，诣无阳」「九月己亥水下三刻，□□以来」——封缄、用印、投递、签收，一枚简走完邮寄全程。写一张「秦代快递单」。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- 01原始资料/第一卷(500)修改(2).xlsx：5-22（第23行）；5-22（第24行）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