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5-35，属里耶古城一号井第五层（J1⑤）材料。《里耶秦简牍校释》第一卷著录于第 16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16 页释文，照录（〼 表示未释或残断）：</w:t>
      </w:r>
    </w:p>
    <w:p>
      <w:pPr>
        <w:pStyle w:val="2"/>
      </w:pPr>
      <w:r>
        <w:t>迁陵洞庭，Ⅰ以邮行。Ⅱ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「迁陵洞庭，以邮行」——目的地与传递方式并书。对比 5-34，说说两枚简的异同。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- 01原始资料/第一卷(500)修改(2).xlsx：5-35（第37行）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