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6-12，属里耶古城一号井第六层（J1⑥）材料。《里耶秦简牍校释》第一卷著录于第 22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22 页释文，照录（〼 表示未释或残断）：</w:t>
      </w:r>
    </w:p>
    <w:p>
      <w:pPr>
        <w:pStyle w:val="2"/>
      </w:pPr>
      <w:r>
        <w:t>粟米五石三斗泰半［1］。丗五年五月己［2］〼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22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粟米，通常泛指粮食。《孟子·尽心下》：“有布缕之征，粟米之征，力役之征。”《二年律令·盗律》77号简云：“其钱金、布帛、粟米、马牛殹，与盗同法。”于此恐是具体指粟（小米）去皮后的谷实。泰半，即大半，三分之二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22 页）涉及形制与缀合，原文照录：</w:t>
      </w:r>
    </w:p>
    <w:p>
      <w:pPr>
        <w:pStyle w:val="2"/>
      </w:pPr>
      <w:r>
        <w:t>[2]丗五年，秦始皇纪年，当公元前212年。原注释：右侧刻齿为“五石三斗”，以下残断。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「粟米五石三斗泰半」与简侧刻齿「五石三斗」对应——文与齿互证。为什么要在简侧再刻一次数字？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- 01原始资料/第一卷(500)修改(2).xlsx：6-12（第49行）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