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6-18，属里耶古城一号井第六层（J1⑥）材料。《里耶秦简牍校释》第一卷著录于第 23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23 页释文，照录（〼 表示未释或残断）：</w:t>
      </w:r>
    </w:p>
    <w:p>
      <w:pPr>
        <w:pStyle w:val="2"/>
      </w:pPr>
      <w:r>
        <w:t>迁陵金布Ⅰ发洞庭［1］。Ⅱ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23 页）涉及文书运转与书写，原文照录：</w:t>
      </w:r>
    </w:p>
    <w:p>
      <w:pPr>
        <w:pStyle w:val="2"/>
      </w:pPr>
      <w:r>
        <w:t>[1]金布，管理金钱、布帛等财物的机构。《汉书·萧望之传》颜注：“《金布》者，令篇名也。其上有府库金钱布帛之事，因以篇名。”里耶9-4号简记云：“谒报。报署金布发。”1可参看。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「迁陵金布发·洞庭」——文书由「金布」这一曹署启封、发往洞庭郡。从「某曹发」看文书的启封制度。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- 01原始资料/第一卷(500)修改(2).xlsx：6-18（第55行）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