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6-37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6-37，属里耶古城一号井第六层（J1⑥）材料。《里耶秦简牍校释》第一卷著录于第 27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6-37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27 页释文，照录（〼 表示未释或残断）：</w:t>
      </w:r>
    </w:p>
    <w:p>
      <w:pPr>
        <w:pStyle w:val="2"/>
      </w:pPr>
      <w:r>
        <w:t>〼□□五功六宅［1］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《校释》本条注释（第 27 页）涉及形制与缀合，原文照录：</w:t>
      </w:r>
    </w:p>
    <w:p>
      <w:pPr>
        <w:pStyle w:val="2"/>
      </w:pPr>
      <w:r>
        <w:t>[1]“五”前二字，似是“主毁”。简首似未缺。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「五功六宅」——功劳与宅地。从「功」看秦代的功劳簿。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- 01原始资料/第一卷(500)修改(2).xlsx：6-37（第74行）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