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6-4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6-4，属里耶古城一号井第六层（J1⑥）材料。《里耶秦简牍校释》第一卷著录于第 19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6-4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19 页释文，照录（〼 表示未释或残断）：</w:t>
      </w:r>
    </w:p>
    <w:p>
      <w:pPr>
        <w:pStyle w:val="2"/>
      </w:pPr>
      <w:r>
        <w:t>□年四月□□朔己卯，迁陵守丞敦狐告船官Ⅰ□［1］：令史㢜雠律令沅陵［2］，其假船二㮴［3］，勿Ⅱ留。Ⅲ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19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[3]假，借。㮴，《字汇·木部》：“同艘”。《汉书·沟洫志》：“谒者二人发河南以东漕船五百㮴”，颜注：“一船为一㮴。”江陵凤凰山8号汉墓78号简：“船一㮴。”2</w:t>
      </w:r>
    </w:p>
    <w:p>
      <w:pPr>
        <w:pStyle w:val="2"/>
      </w:pPr>
      <w:r>
        <w:t>多字：</w:t>
      </w:r>
    </w:p>
    <w:p>
      <w:pPr>
        <w:pStyle w:val="2"/>
      </w:pPr>
      <w:r>
        <w:t>[1]敦狐，人名，亦见于8-135等简。船官，官名，管理船只。第二栏首字应是船官长之名。</w:t>
      </w:r>
    </w:p>
    <w:p>
      <w:pPr>
        <w:pStyle w:val="2"/>
      </w:pPr>
      <w:r>
        <w:t>[2]令史，官名，职掌文书等事。睡虎地秦简《编年记》：“（今）六年四月，为安陆令史。”整理小组注释云：“令史，县令的属吏，职掌文书等事。《史记·项羽本纪》集解引《汉仪注》：‘令吏曰令史，丞吏曰丞史。’”㢜（原释文作“懭”），人名。沅陵，县名，《汉书·地理志》属武陵郡。治所在今湖南沅陵县南。雠律令，校勘律令。《慧琳音义》卷七十七“雠校”注引《风俗通》云：“二人对校为雠。”《正字通·言部》：“雠，校勘书籍曰雠，比言两本相对覆如仇雠。”参看8-173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「迁陵守丞敦狐告船官……其假船二」——官府借船、限期归还。画一张「秦代公务借物单」。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- 01原始资料/pdf/新見里耶秦簡牘資料選校（三）.pdf</w:t>
      </w:r>
    </w:p>
    <w:p>
      <w:pPr>
        <w:pStyle w:val="2"/>
      </w:pPr>
      <w:r>
        <w:t>- 01原始资料/第一卷(500)修改(2).xlsx：6-4（第41行）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