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6-5，属里耶古城一号井第六层（J1⑥）材料。《里耶秦简牍校释》第一卷著录于第 19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19 页释文，照录（〼 表示未释或残断）：</w:t>
      </w:r>
    </w:p>
    <w:p>
      <w:pPr>
        <w:pStyle w:val="2"/>
      </w:pPr>
      <w:r>
        <w:t>除见钱三百六十［1］，AⅠ钱千付令佐处［2］，未出计［3］。AⅡ</w:t>
      </w:r>
    </w:p>
    <w:p>
      <w:pPr>
        <w:pStyle w:val="2"/>
      </w:pPr>
      <w:r>
        <w:t>·钱□〼BⅠ</w:t>
      </w:r>
    </w:p>
    <w:p>
      <w:pPr>
        <w:pStyle w:val="2"/>
      </w:pPr>
      <w:r>
        <w:t>未出〼BⅡ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19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[1]见，现有。《汉书·王莽传下》“仓无见谷”，颜注：“见，谓见在也。”《汉书·王嘉传》：“是时外戚资千万者少耳，故少府水衡见钱多也。”颜注：“见在之钱也。”</w:t>
      </w:r>
    </w:p>
    <w:p>
      <w:pPr>
        <w:pStyle w:val="2"/>
      </w:pPr>
      <w:r>
        <w:t>[3]计，计簿。《战国策·齐策一》：“五官之计，不可不日听也而数览。”高诱注：“计，簿计也。”</w:t>
      </w:r>
    </w:p>
    <w:p>
      <w:pPr>
        <w:pStyle w:val="2"/>
      </w:pPr>
      <w:r>
        <w:t>多字：</w:t>
      </w:r>
    </w:p>
    <w:p>
      <w:pPr>
        <w:pStyle w:val="2"/>
      </w:pPr>
      <w:r>
        <w:t>[2]令佐，官名。处，人名。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「除见钱三百六十」「钱千付令佐处，未出计」——出纳账目。用今天的记账符号给这枚简做一张收支表。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- 01原始资料/第一卷(500)修改(2).xlsx：6-5（第42行）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