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6-8，属里耶古城一号井第六层（J1⑥）材料。《里耶秦简牍校释》第一卷著录于第 21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21 页释文，照录（〼 表示未释或残断）：</w:t>
      </w:r>
    </w:p>
    <w:p>
      <w:pPr>
        <w:pStyle w:val="2"/>
      </w:pPr>
      <w:r>
        <w:t>〼□年四月己未朔丙子［1］，成都受迁［2］〼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21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[1]丙子，四月十八日。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21 页）涉及形制与缀合，原文照录：</w:t>
      </w:r>
    </w:p>
    <w:p>
      <w:pPr>
        <w:pStyle w:val="2"/>
      </w:pPr>
      <w:r>
        <w:t>[2]成都，秦县。《汉书·地理志》属蜀郡，故址在今四川省成都市。原注释：右侧刻齿为“四千一百六十九”。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「成都受迁」——千里之外的成都与迁陵之间的物资往来。在地图上连线成都—里耶。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- 01原始资料/第一卷(500)修改(2).xlsx：6-8（第45行）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