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7-1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9475《里耶秦簡（叁）》所見功勞文書札記一則，https://www.bsm.org.cn/?qinjian/9475.html</w:t>
      </w:r>
    </w:p>
    <w:p>
      <w:pPr>
        <w:pStyle w:val="2"/>
      </w:pPr>
      <w:r>
        <w:t>- 出处：简帛网 论坛12923《里耶秦簡（叁）》初讀，https://www.bsm.org.cn/forum/forum.php?mod=viewthread&amp;tid=12923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1、簡7-1背“十一月壬寅水下九刻秭歸奴橋士五襄以來丿夫半丿即令□□行尉。”“行尉”前的一個殘字，似是“賀”。里耶簡中有隸臣“賀”。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功労文书；「行尉」前残字似「贺」；背面「十一月壬寅水下九刻，秭归奴桥士伍襄以来／夫半」——签收与启封俱全。从「以来」到「半」，读一次收件登记。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- 03精选案例库/案例一.md（功次／考课文书，与本简同属功劳文书（案例所述为8-1450））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