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7-4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8090《讀里耶秦簡札記》，https://www.bsm.org.cn/?qinjian/8090.html</w:t>
      </w:r>
    </w:p>
    <w:p>
      <w:pPr>
        <w:pStyle w:val="2"/>
      </w:pPr>
      <w:r>
        <w:t>- 出处：简帛网 6246《新見里耶秦簡牘資料選校（一）》，https://www.bsm.org.cn/?qinjian/6246.html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>- 04图片素材库/原始扫描图/：7-4.png、7-4私人书信反面.png、7-4私人书信正面.png</w:t>
      </w:r>
    </w:p>
    <w:p>
      <w:pPr>
        <w:pStyle w:val="2"/>
      </w:pPr>
      <w:r>
        <w:t xml:space="preserve"> 释文</w:t>
      </w:r>
    </w:p>
    <w:p>
      <w:pPr>
        <w:pStyle w:val="2"/>
      </w:pPr>
      <w:r>
        <w:t>7-4</w:t>
      </w:r>
    </w:p>
    <w:p>
      <w:pPr>
        <w:pStyle w:val="2"/>
      </w:pPr>
      <w:r>
        <w:t>欣敢多問吕柏得毋病［1]。柏幸賜欣一牘，欣辟（避）Ⅰ席再Ⳏ（拜）及Ⳏ（拜）者［2]。柏求筆及黑〈墨〉［3]，今敬進Ⅱ7-4如柏，令寄芍［4]，敢謁之。Ⅲ7-4背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寄，《説文》：“託也。”</w:t>
      </w:r>
    </w:p>
    <w:p>
      <w:pPr>
        <w:pStyle w:val="2"/>
      </w:pPr>
      <w:r>
        <w:t xml:space="preserve"> 多字</w:t>
      </w:r>
    </w:p>
    <w:p>
      <w:pPr>
        <w:pStyle w:val="2"/>
      </w:pPr>
      <w:r>
        <w:t>避席，离席起立，以示敬意。《吕氏春秋·慎大覽》：“武王避席再拜之，此非貴虜也，貴其言也。”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私人书信：「欣敢多问吕柏得毋病……柏求笔及黑（墨），今敬进」。古人写信怎么问候、怎么开口向朋友要笔和墨？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