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5-18，属里耶古城一号井第五层（J1⑤）材料。《里耶秦简牍校释》第一卷著录于第 12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12 页释文，照录（〼 表示未释或残断）：</w:t>
      </w:r>
    </w:p>
    <w:p>
      <w:pPr>
        <w:pStyle w:val="2"/>
      </w:pPr>
      <w:r>
        <w:t>大奴一人。Ⅰ</w:t>
      </w:r>
    </w:p>
    <w:p>
      <w:pPr>
        <w:pStyle w:val="2"/>
      </w:pPr>
      <w:r>
        <w:t>大婢三人。Ⅱ</w:t>
      </w:r>
    </w:p>
    <w:p>
      <w:pPr>
        <w:pStyle w:val="2"/>
      </w:pPr>
      <w:r>
        <w:t>小奴一人。Ⅲ</w:t>
      </w:r>
    </w:p>
    <w:p>
      <w:pPr>
        <w:pStyle w:val="2"/>
      </w:pPr>
      <w:r>
        <w:t>小婢一人［1］。Ⅳ</w:t>
      </w:r>
    </w:p>
    <w:p>
      <w:pPr>
        <w:pStyle w:val="2"/>
      </w:pPr>
      <w:r>
        <w:t>·凡口数六十五〼Ⅴ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12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[1]大奴、大婢，成年男女奴隶。小奴、小婢，未成年男女奴隶。有学者推测，汉代六岁及以下为未使男女，七岁至十四岁为使男、使女，十五岁及以上为大男、大女。其使男使女可以统称为小男小女1。可参考。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大奴一人、大婢三人、小奴一人、小婢一人，「凡口数六十五」——一枚简就是一份人口档案。按年龄与身份给家人做一张「简牍式户口簿」。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- 01原始资料/第一卷(500)修改(2).xlsx：5-18（第19行）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