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5-2，属里耶古城一号井第五层（J1⑤）材料。《里耶秦简牍校释》第一卷著录于第 7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5-2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7 页释文，照录（〼 表示未释或残断）：</w:t>
      </w:r>
    </w:p>
    <w:p>
      <w:pPr>
        <w:pStyle w:val="2"/>
      </w:pPr>
      <w:r>
        <w:t>[图案]</w:t>
      </w:r>
    </w:p>
    <w:p>
      <w:pPr>
        <w:pStyle w:val="2"/>
      </w:pPr>
      <w:r>
        <w:t>[图案]［1］（背）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7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［1］简背图案，原释文无交待。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秦简不只是文字载体，简背的图案让人看到「书写之外的手工与图绘」。</w:t>
      </w:r>
    </w:p>
    <w:p>
      <w:pPr>
        <w:pStyle w:val="2"/>
      </w:pPr>
      <w:r>
        <w:t>请学生为空白简背设计一个图案或标记，理解古人怎样给简牍做记号。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- 01原始资料/doc/：5-2.docx</w:t>
      </w:r>
    </w:p>
    <w:p>
      <w:pPr>
        <w:pStyle w:val="2"/>
      </w:pPr>
      <w:r>
        <w:t>- 01原始资料/第一卷(500)修改(2).xlsx：5-2（第3行）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