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7-12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- 采集层位：第七层</w:t>
      </w:r>
    </w:p>
    <w:p>
      <w:pPr>
        <w:pStyle w:val="2"/>
      </w:pPr>
      <w:r>
        <w:t>- 出处：简帛网 9476《里耶秦簡（叁）》紀年簡考證，https://www.bsm.org.cn/?qinjian/9476.html</w:t>
      </w:r>
    </w:p>
    <w:p>
      <w:pPr>
        <w:pStyle w:val="2"/>
      </w:pPr>
      <w:r>
        <w:t>- 页码：第三卷未公开，以简号＋文章编号定位</w:t>
      </w:r>
    </w:p>
    <w:p>
      <w:pPr>
        <w:pStyle w:val="2"/>
      </w:pPr>
      <w:r>
        <w:t>- 网址：简帛网 https://www.bsm.org.cn/?qinjian/</w:t>
      </w:r>
    </w:p>
    <w:p>
      <w:pPr>
        <w:pStyle w:val="2"/>
      </w:pPr>
      <w:r>
        <w:t xml:space="preserve"> 图片</w:t>
      </w:r>
    </w:p>
    <w:p>
      <w:pPr>
        <w:pStyle w:val="2"/>
      </w:pPr>
      <w:r>
        <w:t xml:space="preserve"> 释文</w:t>
      </w:r>
    </w:p>
    <w:p>
      <w:pPr>
        <w:pStyle w:val="2"/>
      </w:pPr>
      <w:r>
        <w:t>十一月辛丑水十刻：下盡秭歸逆春公卒山以來☒〼（背）7-12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多字</w:t>
      </w:r>
    </w:p>
    <w:p>
      <w:pPr>
        <w:pStyle w:val="2"/>
      </w:pPr>
      <w:r>
        <w:t>十一月壬寅遷陵守祿以此報酉陽□已□□☒〼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纪年简考证：据「新武陵」与历表推定年份为秦始皇二十六年；背面「水十刻：下尽，秭归逆春公卒山以来」。用历表给一枚残简「补年份」。</w:t>
      </w:r>
    </w:p>
    <w:p>
      <w:pPr>
        <w:pStyle w:val="2"/>
      </w:pPr>
      <w:r>
        <w:t xml:space="preserve"> 关联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