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7-46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- 采集层位：第七层</w:t>
      </w:r>
    </w:p>
    <w:p>
      <w:pPr>
        <w:pStyle w:val="2"/>
      </w:pPr>
      <w:r>
        <w:t>- 出处：简帛网 9476《里耶秦簡（叁）》紀年簡考證，https://www.bsm.org.cn/?qinjian/9476.html</w:t>
      </w:r>
    </w:p>
    <w:p>
      <w:pPr>
        <w:pStyle w:val="2"/>
      </w:pPr>
      <w:r>
        <w:t>- 页码：第三卷未公开，以简号＋文章编号定位</w:t>
      </w:r>
    </w:p>
    <w:p>
      <w:pPr>
        <w:pStyle w:val="2"/>
      </w:pPr>
      <w:r>
        <w:t>- 网址：简帛网 https://www.bsm.org.cn/?qinjian/</w:t>
      </w:r>
    </w:p>
    <w:p>
      <w:pPr>
        <w:pStyle w:val="2"/>
      </w:pPr>
      <w:r>
        <w:t xml:space="preserve"> 图片</w:t>
      </w:r>
    </w:p>
    <w:p>
      <w:pPr>
        <w:pStyle w:val="2"/>
      </w:pPr>
      <w:r>
        <w:t xml:space="preserve"> 释文</w:t>
      </w:r>
    </w:p>
    <w:p>
      <w:pPr>
        <w:pStyle w:val="2"/>
      </w:pPr>
      <w:r>
        <w:t>3.徑廥粟米一石二斗半斗/卅一年□□月乙酉倉妃史感稟人窯出稟大隷妾〼8-1257+7-46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单字</w:t>
      </w:r>
    </w:p>
    <w:p>
      <w:pPr>
        <w:pStyle w:val="2"/>
      </w:pPr>
      <w:r>
        <w:t>按：據曆表和里耶簡文可知，“七月戊子朔”僅爲秦始皇三十五年，簡文首字可補釋作“卅”。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径廥粟米出禀大隶妾；据「妃」任「仓守」的时间推定月份为十二月。职名也能断代。</w:t>
      </w:r>
    </w:p>
    <w:p>
      <w:pPr>
        <w:pStyle w:val="2"/>
      </w:pPr>
      <w:r>
        <w:t xml:space="preserve"> 关联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