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6297E">
      <w:pPr>
        <w:pStyle w:val="2"/>
        <w:keepNext w:val="0"/>
        <w:keepLines w:val="0"/>
        <w:widowControl/>
        <w:suppressLineNumbers w:val="0"/>
      </w:pPr>
      <w:r>
        <w:t xml:space="preserve"> 简号 9-2289：反印文与木牍叠压</w:t>
      </w:r>
    </w:p>
    <w:p w14:paraId="25155F58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2D48974F">
      <w:pPr>
        <w:pStyle w:val="2"/>
        <w:keepNext w:val="0"/>
        <w:keepLines w:val="0"/>
        <w:widowControl/>
        <w:suppressLineNumbers w:val="0"/>
      </w:pPr>
      <w:r>
        <w:t>里耶秦简第九层出土木牍，编号9-2289。研究文章重点讨论其反印墨迹及与其他木牍的叠压关系：[文汇报·文汇学人文章](https://wenhui.whb.cn/zhuzhan/xueren/20190517/263443.html)。研究叙述涉及9-1至9-12牍的叠压问题，可与馆藏图版书中的红外图像和释文对照。</w:t>
      </w:r>
    </w:p>
    <w:p w14:paraId="466F2D74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5F8C9CAC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2DB08F4D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在线原图/研究入口：[查看本简相关论文页面](https://wenhui.whb.cn/zhuzhan/xueren/20190517/263443.html)。若网页展示的是研究者制图或局部裁图，请按“论文图”引用；原简正式图版以出版物为准。</w:t>
      </w:r>
    </w:p>
    <w:p w14:paraId="56C9CCF6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7974659F">
      <w:pPr>
        <w:pStyle w:val="2"/>
        <w:keepNext w:val="0"/>
        <w:keepLines w:val="0"/>
        <w:widowControl/>
        <w:suppressLineNumbers w:val="0"/>
      </w:pPr>
      <w:r>
        <w:t>研究文章概述本牍文书主旨：洞庭郡守发布关于运输甲兵时征发徒隶、核查徒隶簿籍并依法处理不当征发的指示，后续又有补充传递命令。此为现代内容提要，不能当作原简逐字释文；原文标点、补字和反印字形应据校释本第455—458页。</w:t>
      </w:r>
    </w:p>
    <w:p w14:paraId="2DA91862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24F6C854">
      <w:pPr>
        <w:pStyle w:val="2"/>
        <w:keepNext w:val="0"/>
        <w:keepLines w:val="0"/>
        <w:widowControl/>
        <w:suppressLineNumbers w:val="0"/>
      </w:pPr>
      <w:r>
        <w:t>本牍的文字观察重点是正文墨迹与反印痕迹的区别。释读时分别标注正写、反印、覆盖及污痕，不能把反印直接当作原文。</w:t>
      </w:r>
    </w:p>
    <w:p w14:paraId="355784A9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1113B5B6">
      <w:pPr>
        <w:pStyle w:val="2"/>
        <w:keepNext w:val="0"/>
        <w:keepLines w:val="0"/>
        <w:widowControl/>
        <w:suppressLineNumbers w:val="0"/>
      </w:pPr>
      <w:r>
        <w:t>该牍正文及后续文字层次可结合文章所刊图示观察。研究者报告其反印墨迹；反印的方向、浓淡和边缘应与正写墨迹分开，不能当成书手在背面主动书写的笔法。</w:t>
      </w:r>
    </w:p>
    <w:p w14:paraId="11B68AE6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521F9184">
      <w:pPr>
        <w:pStyle w:val="2"/>
        <w:keepNext w:val="0"/>
        <w:keepLines w:val="0"/>
        <w:widowControl/>
        <w:suppressLineNumbers w:val="0"/>
      </w:pPr>
      <w:r>
        <w:t>木牍，下部略残。文汇报文章转述尺寸约长22.4厘米、宽4.4厘米、厚0.3厘米；本卡保留“约”及二手来源属性。</w:t>
      </w:r>
    </w:p>
    <w:p w14:paraId="06117D30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71DFED34">
      <w:pPr>
        <w:pStyle w:val="2"/>
        <w:keepNext w:val="0"/>
        <w:keepLines w:val="0"/>
        <w:widowControl/>
        <w:suppressLineNumbers w:val="0"/>
      </w:pPr>
      <w:r>
        <w:t>反印文是墨迹与另一件简牍/牍面接触形成的保存痕迹，可用于推断文书叠放与归档；它不是书手主动写在反面的文字。辨认应使用彩色与红外图版互校。</w:t>
      </w:r>
    </w:p>
    <w:p w14:paraId="398D0F94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美育价值</w:t>
      </w:r>
    </w:p>
    <w:p w14:paraId="7E0BD2EA">
      <w:pPr>
        <w:pStyle w:val="2"/>
        <w:keepNext w:val="0"/>
        <w:keepLines w:val="0"/>
        <w:widowControl/>
        <w:suppressLineNumbers w:val="0"/>
      </w:pPr>
      <w:r>
        <w:t>- 用“墨迹如何留下第二份影像”引入书写材料、档案保存和图像识读。</w:t>
      </w:r>
    </w:p>
    <w:p w14:paraId="76EF1BD8">
      <w:pPr>
        <w:pStyle w:val="2"/>
        <w:keepNext w:val="0"/>
        <w:keepLines w:val="0"/>
        <w:widowControl/>
        <w:suppressLineNumbers w:val="0"/>
      </w:pPr>
      <w:r>
        <w:t>- 学生可先遮住原文，只凭反印尝试辨认，再与正向图版比较，理解古文字释读中的证据层次。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1FA543D3"/>
    <w:rsid w:val="227125FA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5AD77EFD"/>
    <w:rsid w:val="61310E03"/>
    <w:rsid w:val="655A5846"/>
    <w:rsid w:val="676625D0"/>
    <w:rsid w:val="6ED651F3"/>
    <w:rsid w:val="72712A3F"/>
    <w:rsid w:val="75C133F7"/>
    <w:rsid w:val="785F43BE"/>
    <w:rsid w:val="792C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498</Words>
  <Characters>594</Characters>
  <Lines>0</Lines>
  <Paragraphs>0</Paragraphs>
  <TotalTime>2570</TotalTime>
  <ScaleCrop>false</ScaleCrop>
  <LinksUpToDate>false</LinksUpToDate>
  <CharactersWithSpaces>606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