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D4B4B">
      <w:pPr>
        <w:pStyle w:val="2"/>
        <w:keepNext w:val="0"/>
        <w:keepLines w:val="0"/>
        <w:widowControl/>
        <w:suppressLineNumbers w:val="0"/>
      </w:pPr>
      <w:r>
        <w:t xml:space="preserve"> 简号 8-528：从人文书残简</w:t>
      </w:r>
    </w:p>
    <w:p w14:paraId="7166B40E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486B17AF">
      <w:pPr>
        <w:pStyle w:val="2"/>
        <w:keepNext w:val="0"/>
        <w:keepLines w:val="0"/>
        <w:widowControl/>
        <w:suppressLineNumbers w:val="0"/>
      </w:pPr>
      <w:r>
        <w:t>《里耶秦简中的“从人”简》，《文史哲》2020年第3期 PDF：https://www.lhp.sdu.edu.cn/__local/1/26/0E/2B9E90910BDAF6B8AD5A62C3924_F9487A03_685368.pdf</w:t>
      </w:r>
    </w:p>
    <w:p w14:paraId="1D961A30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7ED4CFA2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6C2EDB6A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在线原图/研究入口：[查看本简相关论文页面](https://www.lhp.sdu.edu.cn/__local/1/26/0E/2B9E90910BDAF6B8AD5A62C3924_F9487A03_685368.pdf)。若网页展示的是研究者制图或局部裁图，请按“论文图”引用；原简正式图版以出版物为准。</w:t>
      </w:r>
    </w:p>
    <w:p w14:paraId="3E622BE7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5852B627">
      <w:pPr>
        <w:pStyle w:val="2"/>
        <w:keepNext w:val="0"/>
        <w:keepLines w:val="0"/>
        <w:widowControl/>
        <w:suppressLineNumbers w:val="0"/>
      </w:pPr>
      <w:r>
        <w:t>《里耶秦简中的“从人”简》将此编号列入从人文书研究材料，释读关注秦代对“从人”及其家属处置的行政语境。该论文摘要和正文是本卡的释读入口；本卡不以复原后的通读文本冒充单片原文。</w:t>
      </w:r>
    </w:p>
    <w:p w14:paraId="21EB2C1E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44A7BAD6">
      <w:pPr>
        <w:pStyle w:val="2"/>
        <w:keepNext w:val="0"/>
        <w:keepLines w:val="0"/>
        <w:widowControl/>
        <w:suppressLineNumbers w:val="0"/>
      </w:pPr>
      <w:r>
        <w:t xml:space="preserve">针对“从人”的政令/行政文书，涉及代地人员处置。 </w:t>
      </w:r>
    </w:p>
    <w:p w14:paraId="4EC8E5ED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1DA6EA23">
      <w:pPr>
        <w:pStyle w:val="2"/>
        <w:keepNext w:val="0"/>
        <w:keepLines w:val="0"/>
        <w:widowControl/>
        <w:suppressLineNumbers w:val="0"/>
      </w:pPr>
      <w:r>
        <w:t>研究主题为“从人”行政文字。需以图版检查常见字“从”及同列字的大小、倾斜和笔画连写；所引论文若未展示该简高清原图，不对笔锋和墨色变化作确定判断。</w:t>
      </w:r>
    </w:p>
    <w:p w14:paraId="03DE138A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21AB5103">
      <w:pPr>
        <w:pStyle w:val="2"/>
        <w:keepNext w:val="0"/>
        <w:keepLines w:val="0"/>
        <w:widowControl/>
        <w:suppressLineNumbers w:val="0"/>
      </w:pPr>
      <w:r>
        <w:t>第八层出土文书简。公开研究文章讨论其文书内容，但未见可确认本件全幅原图及单件尺寸；简体材质、端部、编绳痕与正背面情况以正式整理本图版为准。</w:t>
      </w:r>
    </w:p>
    <w:p w14:paraId="57487593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39AD95E1">
      <w:pPr>
        <w:pStyle w:val="2"/>
        <w:keepNext w:val="0"/>
        <w:keepLines w:val="0"/>
        <w:widowControl/>
        <w:suppressLineNumbers w:val="0"/>
      </w:pPr>
      <w:r>
        <w:t xml:space="preserve">本简释文有缺损，阅读时保留缺字符号，区分简面可读文字与研究者补释。 </w:t>
      </w:r>
    </w:p>
    <w:p w14:paraId="48B7556E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从笔迹、文书内容和历史语境讨论秦代政令执行。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AB76706"/>
    <w:rsid w:val="1F2C31EB"/>
    <w:rsid w:val="27E26F05"/>
    <w:rsid w:val="2A236B57"/>
    <w:rsid w:val="31144833"/>
    <w:rsid w:val="37CF3DFF"/>
    <w:rsid w:val="564E294A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841</Words>
  <Characters>974</Characters>
  <Lines>0</Lines>
  <Paragraphs>0</Paragraphs>
  <TotalTime>2570</TotalTime>
  <ScaleCrop>false</ScaleCrop>
  <LinksUpToDate>false</LinksUpToDate>
  <CharactersWithSpaces>990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