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8-18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8-18，属里耶古城一号井第八层（J1⑧）材料。《里耶秦简牍校释》第一卷著录于第 32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8-18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32 页释文，照录（〼 表示未释或残断）：</w:t>
      </w:r>
    </w:p>
    <w:p>
      <w:pPr>
        <w:pStyle w:val="2"/>
      </w:pPr>
      <w:r>
        <w:t>〼隶臣赤［1］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32 页）涉及字词考释，原文照录：</w:t>
      </w:r>
    </w:p>
    <w:p>
      <w:pPr>
        <w:pStyle w:val="2"/>
      </w:pPr>
      <w:r>
        <w:t>多字：</w:t>
      </w:r>
    </w:p>
    <w:p>
      <w:pPr>
        <w:pStyle w:val="2"/>
      </w:pPr>
      <w:r>
        <w:t>[1]隶臣，《秦律十八种·厩苑律》“其小隶臣疾死者”，整理小组注释云：“隶臣，刑徒名，见《汉书·刑法志》，注：‘男子为隶臣，女子为隶妾。’”《二年律令·具律》90-92号简云：“有罪当耐，其法不名耐者，庶人以上耐为司寇，司寇耐为隶臣妾。隶臣妾及收人有耐罪，𣪠（系）城旦舂六岁。𣪠（系）日未备而复有耐罪，完为城旦舂。城旦舂有罪耐以上，黥之。其有赎罪以下、及老小不当刑、刑尽者，皆笞百。城旦刑尽而盗臧（赃）百一十钱以上，若贼伤人及杀人，而先自告也，皆弃市。”1赤，人名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「隶臣」是刑徒名（男为隶臣，女为隶妾）。从刑徒名称看秦汉刑罚体系。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- 01原始资料/第一卷(500)修改(2).xlsx：8-18（第95行）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