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6E026">
      <w:pPr>
        <w:pStyle w:val="2"/>
        <w:keepNext w:val="0"/>
        <w:keepLines w:val="0"/>
        <w:widowControl/>
        <w:suppressLineNumbers w:val="0"/>
      </w:pPr>
      <w:r>
        <w:t xml:space="preserve"> 简号 8-868：秦代法律文书残简</w:t>
      </w:r>
    </w:p>
    <w:p w14:paraId="77D16841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6F21117A">
      <w:pPr>
        <w:pStyle w:val="2"/>
        <w:keepNext w:val="0"/>
        <w:keepLines w:val="0"/>
        <w:widowControl/>
        <w:suppressLineNumbers w:val="0"/>
      </w:pPr>
      <w:r>
        <w:t>石原遼平：《里耶秦簡8-315・8-868の綴合・釈読覚書》，东京外国语大学亚非语言文化研究所网页：https://www.aa.tufs.ac.jp/~Ejina/note/note40%28Ishihara%29.html</w:t>
      </w:r>
    </w:p>
    <w:p w14:paraId="0DD7CFD1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66F27C69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3D7D72FF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在线原图/研究入口：[查看本简相关论文页面](https://www.aa.tufs.ac.jp/~Ejina/note/note40%28Ishihara%29.html)。若网页展示的是研究者制图或局部裁图，请按“论文图”引用；原简正式图版以出版物为准。</w:t>
      </w:r>
    </w:p>
    <w:p w14:paraId="09205097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4F4453C">
      <w:pPr>
        <w:pStyle w:val="2"/>
        <w:keepNext w:val="0"/>
        <w:keepLines w:val="0"/>
        <w:widowControl/>
        <w:suppressLineNumbers w:val="0"/>
      </w:pPr>
      <w:r>
        <w:t>石原遼平页面列出的既有释文为：“〼爵二級自爲，爲〼”。文中讨论“爲＝”的重文符号及相关词义；原简残缺部分以〼保留，不据语意补足。</w:t>
      </w:r>
    </w:p>
    <w:p w14:paraId="12669928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18C952D">
      <w:pPr>
        <w:pStyle w:val="2"/>
        <w:keepNext w:val="0"/>
        <w:keepLines w:val="0"/>
        <w:widowControl/>
        <w:suppressLineNumbers w:val="0"/>
      </w:pPr>
      <w:r>
        <w:t xml:space="preserve">本简“爵”字及周围残字为释读重点；残缺处保留缺字符号，不据文意擅补。 </w:t>
      </w:r>
    </w:p>
    <w:p w14:paraId="4DC75DC8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3BB6EE4A">
      <w:pPr>
        <w:pStyle w:val="2"/>
        <w:keepNext w:val="0"/>
        <w:keepLines w:val="0"/>
        <w:widowControl/>
        <w:suppressLineNumbers w:val="0"/>
      </w:pPr>
      <w:r>
        <w:t>在线研究页面提供字形局部对照，可观察“爵”字的构件、笔画搭接和墨迹保存状况。讨论时须区分原简墨迹、研究者描线及释文隶定字形。</w:t>
      </w:r>
    </w:p>
    <w:p w14:paraId="28E165EE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46678FC3">
      <w:pPr>
        <w:pStyle w:val="2"/>
        <w:keepNext w:val="0"/>
        <w:keepLines w:val="0"/>
        <w:widowControl/>
        <w:suppressLineNumbers w:val="0"/>
      </w:pPr>
      <w:r>
        <w:t>木质简牍残简。石原遼平论文提供据正式图版加工的图像，可见文字残缺区域；论文未公布单件尺寸。端部是否折断及缺损范围以论文图版和《里耶秦简（壹）》原图为依据。</w:t>
      </w:r>
    </w:p>
    <w:p w14:paraId="473EE0B5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6B654475">
      <w:pPr>
        <w:pStyle w:val="2"/>
        <w:keepNext w:val="0"/>
        <w:keepLines w:val="0"/>
        <w:widowControl/>
        <w:suppressLineNumbers w:val="0"/>
      </w:pPr>
      <w:r>
        <w:t xml:space="preserve">比较纸面/图版中断口处的墨迹连贯性；勿仅凭文义拼接。 </w:t>
      </w:r>
    </w:p>
    <w:p w14:paraId="33C28059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可用于练习区分图版上可见的断口、木纹与墨迹证据，以及研究者据此作出的文本复原判断。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4567A9"/>
    <w:rsid w:val="31144833"/>
    <w:rsid w:val="35725201"/>
    <w:rsid w:val="369D6F2B"/>
    <w:rsid w:val="37CF3DFF"/>
    <w:rsid w:val="3B7F44DE"/>
    <w:rsid w:val="46B92C24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487</Words>
  <Characters>602</Characters>
  <Lines>0</Lines>
  <Paragraphs>0</Paragraphs>
  <TotalTime>2570</TotalTime>
  <ScaleCrop>false</ScaleCrop>
  <LinksUpToDate>false</LinksUpToDate>
  <CharactersWithSpaces>613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