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7FEAF" w14:textId="38657FC6" w:rsidR="008A58B5" w:rsidRDefault="008A58B5" w:rsidP="008A58B5">
      <w:pPr>
        <w:jc w:val="center"/>
        <w:rPr>
          <w:b/>
          <w:bCs/>
          <w:sz w:val="32"/>
          <w:szCs w:val="32"/>
        </w:rPr>
      </w:pPr>
      <w:r w:rsidRPr="00977931">
        <w:rPr>
          <w:b/>
          <w:bCs/>
          <w:sz w:val="32"/>
          <w:szCs w:val="32"/>
        </w:rPr>
        <w:t>Technical Analysis Description</w:t>
      </w:r>
    </w:p>
    <w:p w14:paraId="719EBD82" w14:textId="4C573254" w:rsidR="00977931" w:rsidRPr="00977931" w:rsidRDefault="00977931" w:rsidP="00977931">
      <w:pPr>
        <w:pStyle w:val="TOC1"/>
        <w:rPr>
          <w:rFonts w:asciiTheme="minorHAnsi" w:eastAsiaTheme="minorEastAsia" w:hAnsiTheme="minorHAnsi" w:cstheme="minorBidi"/>
          <w14:ligatures w14:val="standardContextual"/>
        </w:rPr>
      </w:pPr>
      <w:r w:rsidRPr="00977931">
        <w:rPr>
          <w:sz w:val="40"/>
          <w:szCs w:val="40"/>
        </w:rPr>
        <w:fldChar w:fldCharType="begin"/>
      </w:r>
      <w:r w:rsidRPr="00977931">
        <w:rPr>
          <w:sz w:val="40"/>
          <w:szCs w:val="40"/>
        </w:rPr>
        <w:instrText xml:space="preserve"> TOC \o "1-3" \h \z \u </w:instrText>
      </w:r>
      <w:r w:rsidRPr="00977931">
        <w:rPr>
          <w:sz w:val="40"/>
          <w:szCs w:val="40"/>
        </w:rPr>
        <w:fldChar w:fldCharType="separate"/>
      </w:r>
      <w:hyperlink w:anchor="_Toc151293059" w:history="1">
        <w:r w:rsidRPr="00977931">
          <w:rPr>
            <w:rStyle w:val="a4"/>
          </w:rPr>
          <w:t>Data Preprocessing</w:t>
        </w:r>
        <w:r w:rsidRPr="00977931">
          <w:rPr>
            <w:webHidden/>
          </w:rPr>
          <w:tab/>
        </w:r>
        <w:r w:rsidRPr="00977931">
          <w:rPr>
            <w:webHidden/>
          </w:rPr>
          <w:fldChar w:fldCharType="begin"/>
        </w:r>
        <w:r w:rsidRPr="00977931">
          <w:rPr>
            <w:webHidden/>
          </w:rPr>
          <w:instrText xml:space="preserve"> PAGEREF _Toc151293059 \h </w:instrText>
        </w:r>
        <w:r w:rsidRPr="00977931">
          <w:rPr>
            <w:webHidden/>
          </w:rPr>
        </w:r>
        <w:r w:rsidRPr="00977931">
          <w:rPr>
            <w:webHidden/>
          </w:rPr>
          <w:fldChar w:fldCharType="separate"/>
        </w:r>
        <w:r w:rsidRPr="00977931">
          <w:rPr>
            <w:webHidden/>
          </w:rPr>
          <w:t>1</w:t>
        </w:r>
        <w:r w:rsidRPr="00977931">
          <w:rPr>
            <w:webHidden/>
          </w:rPr>
          <w:fldChar w:fldCharType="end"/>
        </w:r>
      </w:hyperlink>
    </w:p>
    <w:p w14:paraId="71D926C0" w14:textId="7FBCE52E" w:rsidR="00977931" w:rsidRPr="00977931" w:rsidRDefault="00977931" w:rsidP="00977931">
      <w:pPr>
        <w:pStyle w:val="TOC1"/>
        <w:rPr>
          <w:rFonts w:asciiTheme="minorHAnsi" w:eastAsiaTheme="minorEastAsia" w:hAnsiTheme="minorHAnsi" w:cstheme="minorBidi"/>
          <w14:ligatures w14:val="standardContextual"/>
        </w:rPr>
      </w:pPr>
      <w:hyperlink w:anchor="_Toc151293060" w:history="1">
        <w:r w:rsidRPr="00977931">
          <w:rPr>
            <w:rStyle w:val="a4"/>
          </w:rPr>
          <w:t>Model Construction</w:t>
        </w:r>
        <w:r w:rsidRPr="00977931">
          <w:rPr>
            <w:webHidden/>
          </w:rPr>
          <w:tab/>
        </w:r>
        <w:r w:rsidRPr="00977931">
          <w:rPr>
            <w:webHidden/>
          </w:rPr>
          <w:fldChar w:fldCharType="begin"/>
        </w:r>
        <w:r w:rsidRPr="00977931">
          <w:rPr>
            <w:webHidden/>
          </w:rPr>
          <w:instrText xml:space="preserve"> PAGEREF _Toc151293060 \h </w:instrText>
        </w:r>
        <w:r w:rsidRPr="00977931">
          <w:rPr>
            <w:webHidden/>
          </w:rPr>
        </w:r>
        <w:r w:rsidRPr="00977931">
          <w:rPr>
            <w:webHidden/>
          </w:rPr>
          <w:fldChar w:fldCharType="separate"/>
        </w:r>
        <w:r w:rsidRPr="00977931">
          <w:rPr>
            <w:webHidden/>
          </w:rPr>
          <w:t>1</w:t>
        </w:r>
        <w:r w:rsidRPr="00977931">
          <w:rPr>
            <w:webHidden/>
          </w:rPr>
          <w:fldChar w:fldCharType="end"/>
        </w:r>
      </w:hyperlink>
    </w:p>
    <w:p w14:paraId="32B07DC6" w14:textId="13A21DB7" w:rsidR="00977931" w:rsidRPr="00977931" w:rsidRDefault="00977931">
      <w:pPr>
        <w:pStyle w:val="TOC2"/>
        <w:tabs>
          <w:tab w:val="left" w:pos="840"/>
          <w:tab w:val="right" w:leader="dot" w:pos="8296"/>
        </w:tabs>
        <w:rPr>
          <w:rFonts w:asciiTheme="minorHAnsi" w:eastAsiaTheme="minorEastAsia" w:hAnsiTheme="minorHAnsi" w:cstheme="minorBidi"/>
          <w:noProof/>
          <w:sz w:val="24"/>
          <w:szCs w:val="32"/>
          <w14:ligatures w14:val="standardContextual"/>
        </w:rPr>
      </w:pPr>
      <w:hyperlink w:anchor="_Toc151293061" w:history="1">
        <w:r w:rsidRPr="00977931">
          <w:rPr>
            <w:rStyle w:val="a4"/>
            <w:b/>
            <w:bCs/>
            <w:noProof/>
            <w:sz w:val="24"/>
            <w:szCs w:val="32"/>
          </w:rPr>
          <w:t>1.</w:t>
        </w:r>
        <w:r w:rsidRPr="00977931">
          <w:rPr>
            <w:rFonts w:asciiTheme="minorHAnsi" w:eastAsiaTheme="minorEastAsia" w:hAnsiTheme="minorHAnsi" w:cstheme="minorBidi"/>
            <w:noProof/>
            <w:sz w:val="24"/>
            <w:szCs w:val="32"/>
            <w14:ligatures w14:val="standardContextual"/>
          </w:rPr>
          <w:tab/>
        </w:r>
        <w:r w:rsidRPr="00977931">
          <w:rPr>
            <w:rStyle w:val="a4"/>
            <w:b/>
            <w:bCs/>
            <w:noProof/>
            <w:sz w:val="24"/>
            <w:szCs w:val="32"/>
          </w:rPr>
          <w:t>Moving Average Analysis</w:t>
        </w:r>
        <w:r w:rsidRPr="00977931">
          <w:rPr>
            <w:noProof/>
            <w:webHidden/>
            <w:sz w:val="24"/>
            <w:szCs w:val="32"/>
          </w:rPr>
          <w:tab/>
        </w:r>
        <w:r w:rsidRPr="00977931">
          <w:rPr>
            <w:noProof/>
            <w:webHidden/>
            <w:sz w:val="24"/>
            <w:szCs w:val="32"/>
          </w:rPr>
          <w:fldChar w:fldCharType="begin"/>
        </w:r>
        <w:r w:rsidRPr="00977931">
          <w:rPr>
            <w:noProof/>
            <w:webHidden/>
            <w:sz w:val="24"/>
            <w:szCs w:val="32"/>
          </w:rPr>
          <w:instrText xml:space="preserve"> PAGEREF _Toc151293061 \h </w:instrText>
        </w:r>
        <w:r w:rsidRPr="00977931">
          <w:rPr>
            <w:noProof/>
            <w:webHidden/>
            <w:sz w:val="24"/>
            <w:szCs w:val="32"/>
          </w:rPr>
        </w:r>
        <w:r w:rsidRPr="00977931">
          <w:rPr>
            <w:noProof/>
            <w:webHidden/>
            <w:sz w:val="24"/>
            <w:szCs w:val="32"/>
          </w:rPr>
          <w:fldChar w:fldCharType="separate"/>
        </w:r>
        <w:r w:rsidRPr="00977931">
          <w:rPr>
            <w:noProof/>
            <w:webHidden/>
            <w:sz w:val="24"/>
            <w:szCs w:val="32"/>
          </w:rPr>
          <w:t>1</w:t>
        </w:r>
        <w:r w:rsidRPr="00977931">
          <w:rPr>
            <w:noProof/>
            <w:webHidden/>
            <w:sz w:val="24"/>
            <w:szCs w:val="32"/>
          </w:rPr>
          <w:fldChar w:fldCharType="end"/>
        </w:r>
      </w:hyperlink>
    </w:p>
    <w:p w14:paraId="37D5EFAB" w14:textId="7BC0083D" w:rsidR="00977931" w:rsidRPr="00977931" w:rsidRDefault="00977931">
      <w:pPr>
        <w:pStyle w:val="TOC2"/>
        <w:tabs>
          <w:tab w:val="left" w:pos="840"/>
          <w:tab w:val="right" w:leader="dot" w:pos="8296"/>
        </w:tabs>
        <w:rPr>
          <w:rFonts w:asciiTheme="minorHAnsi" w:eastAsiaTheme="minorEastAsia" w:hAnsiTheme="minorHAnsi" w:cstheme="minorBidi"/>
          <w:noProof/>
          <w:sz w:val="24"/>
          <w:szCs w:val="32"/>
          <w14:ligatures w14:val="standardContextual"/>
        </w:rPr>
      </w:pPr>
      <w:hyperlink w:anchor="_Toc151293062" w:history="1">
        <w:r w:rsidRPr="00977931">
          <w:rPr>
            <w:rStyle w:val="a4"/>
            <w:b/>
            <w:bCs/>
            <w:noProof/>
            <w:sz w:val="24"/>
            <w:szCs w:val="32"/>
          </w:rPr>
          <w:t>2.</w:t>
        </w:r>
        <w:r w:rsidRPr="00977931">
          <w:rPr>
            <w:rFonts w:asciiTheme="minorHAnsi" w:eastAsiaTheme="minorEastAsia" w:hAnsiTheme="minorHAnsi" w:cstheme="minorBidi"/>
            <w:noProof/>
            <w:sz w:val="24"/>
            <w:szCs w:val="32"/>
            <w14:ligatures w14:val="standardContextual"/>
          </w:rPr>
          <w:tab/>
        </w:r>
        <w:r w:rsidRPr="00977931">
          <w:rPr>
            <w:rStyle w:val="a4"/>
            <w:b/>
            <w:bCs/>
            <w:noProof/>
            <w:sz w:val="24"/>
            <w:szCs w:val="32"/>
          </w:rPr>
          <w:t>Risk Attribution Analysis</w:t>
        </w:r>
        <w:r w:rsidRPr="00977931">
          <w:rPr>
            <w:noProof/>
            <w:webHidden/>
            <w:sz w:val="24"/>
            <w:szCs w:val="32"/>
          </w:rPr>
          <w:tab/>
        </w:r>
        <w:r w:rsidRPr="00977931">
          <w:rPr>
            <w:noProof/>
            <w:webHidden/>
            <w:sz w:val="24"/>
            <w:szCs w:val="32"/>
          </w:rPr>
          <w:fldChar w:fldCharType="begin"/>
        </w:r>
        <w:r w:rsidRPr="00977931">
          <w:rPr>
            <w:noProof/>
            <w:webHidden/>
            <w:sz w:val="24"/>
            <w:szCs w:val="32"/>
          </w:rPr>
          <w:instrText xml:space="preserve"> PAGEREF _Toc151293062 \h </w:instrText>
        </w:r>
        <w:r w:rsidRPr="00977931">
          <w:rPr>
            <w:noProof/>
            <w:webHidden/>
            <w:sz w:val="24"/>
            <w:szCs w:val="32"/>
          </w:rPr>
        </w:r>
        <w:r w:rsidRPr="00977931">
          <w:rPr>
            <w:noProof/>
            <w:webHidden/>
            <w:sz w:val="24"/>
            <w:szCs w:val="32"/>
          </w:rPr>
          <w:fldChar w:fldCharType="separate"/>
        </w:r>
        <w:r w:rsidRPr="00977931">
          <w:rPr>
            <w:noProof/>
            <w:webHidden/>
            <w:sz w:val="24"/>
            <w:szCs w:val="32"/>
          </w:rPr>
          <w:t>2</w:t>
        </w:r>
        <w:r w:rsidRPr="00977931">
          <w:rPr>
            <w:noProof/>
            <w:webHidden/>
            <w:sz w:val="24"/>
            <w:szCs w:val="32"/>
          </w:rPr>
          <w:fldChar w:fldCharType="end"/>
        </w:r>
      </w:hyperlink>
    </w:p>
    <w:p w14:paraId="25584BB0" w14:textId="4D05BFD8" w:rsidR="00977931" w:rsidRPr="00977931" w:rsidRDefault="00977931">
      <w:pPr>
        <w:pStyle w:val="TOC2"/>
        <w:tabs>
          <w:tab w:val="left" w:pos="840"/>
          <w:tab w:val="right" w:leader="dot" w:pos="8296"/>
        </w:tabs>
        <w:rPr>
          <w:rFonts w:asciiTheme="minorHAnsi" w:eastAsiaTheme="minorEastAsia" w:hAnsiTheme="minorHAnsi" w:cstheme="minorBidi"/>
          <w:noProof/>
          <w:sz w:val="24"/>
          <w:szCs w:val="32"/>
          <w14:ligatures w14:val="standardContextual"/>
        </w:rPr>
      </w:pPr>
      <w:hyperlink w:anchor="_Toc151293063" w:history="1">
        <w:r w:rsidRPr="00977931">
          <w:rPr>
            <w:rStyle w:val="a4"/>
            <w:b/>
            <w:bCs/>
            <w:noProof/>
            <w:sz w:val="24"/>
            <w:szCs w:val="32"/>
          </w:rPr>
          <w:t>3.</w:t>
        </w:r>
        <w:r w:rsidRPr="00977931">
          <w:rPr>
            <w:rFonts w:asciiTheme="minorHAnsi" w:eastAsiaTheme="minorEastAsia" w:hAnsiTheme="minorHAnsi" w:cstheme="minorBidi"/>
            <w:noProof/>
            <w:sz w:val="24"/>
            <w:szCs w:val="32"/>
            <w14:ligatures w14:val="standardContextual"/>
          </w:rPr>
          <w:tab/>
        </w:r>
        <w:r w:rsidRPr="00977931">
          <w:rPr>
            <w:rStyle w:val="a4"/>
            <w:b/>
            <w:bCs/>
            <w:noProof/>
            <w:sz w:val="24"/>
            <w:szCs w:val="32"/>
          </w:rPr>
          <w:t>Return Attribution Analysis:</w:t>
        </w:r>
        <w:r w:rsidRPr="00977931">
          <w:rPr>
            <w:noProof/>
            <w:webHidden/>
            <w:sz w:val="24"/>
            <w:szCs w:val="32"/>
          </w:rPr>
          <w:tab/>
        </w:r>
        <w:r w:rsidRPr="00977931">
          <w:rPr>
            <w:noProof/>
            <w:webHidden/>
            <w:sz w:val="24"/>
            <w:szCs w:val="32"/>
          </w:rPr>
          <w:fldChar w:fldCharType="begin"/>
        </w:r>
        <w:r w:rsidRPr="00977931">
          <w:rPr>
            <w:noProof/>
            <w:webHidden/>
            <w:sz w:val="24"/>
            <w:szCs w:val="32"/>
          </w:rPr>
          <w:instrText xml:space="preserve"> PAGEREF _Toc151293063 \h </w:instrText>
        </w:r>
        <w:r w:rsidRPr="00977931">
          <w:rPr>
            <w:noProof/>
            <w:webHidden/>
            <w:sz w:val="24"/>
            <w:szCs w:val="32"/>
          </w:rPr>
        </w:r>
        <w:r w:rsidRPr="00977931">
          <w:rPr>
            <w:noProof/>
            <w:webHidden/>
            <w:sz w:val="24"/>
            <w:szCs w:val="32"/>
          </w:rPr>
          <w:fldChar w:fldCharType="separate"/>
        </w:r>
        <w:r w:rsidRPr="00977931">
          <w:rPr>
            <w:noProof/>
            <w:webHidden/>
            <w:sz w:val="24"/>
            <w:szCs w:val="32"/>
          </w:rPr>
          <w:t>2</w:t>
        </w:r>
        <w:r w:rsidRPr="00977931">
          <w:rPr>
            <w:noProof/>
            <w:webHidden/>
            <w:sz w:val="24"/>
            <w:szCs w:val="32"/>
          </w:rPr>
          <w:fldChar w:fldCharType="end"/>
        </w:r>
      </w:hyperlink>
    </w:p>
    <w:p w14:paraId="7328FA8F" w14:textId="475C6D3D" w:rsidR="00977931" w:rsidRPr="00977931" w:rsidRDefault="00977931" w:rsidP="00977931">
      <w:pPr>
        <w:rPr>
          <w:b/>
          <w:bCs/>
          <w:sz w:val="32"/>
          <w:szCs w:val="32"/>
        </w:rPr>
      </w:pPr>
      <w:r w:rsidRPr="00977931">
        <w:rPr>
          <w:b/>
          <w:bCs/>
          <w:sz w:val="40"/>
          <w:szCs w:val="40"/>
        </w:rPr>
        <w:fldChar w:fldCharType="end"/>
      </w:r>
    </w:p>
    <w:p w14:paraId="2D910654" w14:textId="77777777" w:rsidR="00F9569E" w:rsidRPr="00977931" w:rsidRDefault="00F9569E" w:rsidP="00977931">
      <w:pPr>
        <w:outlineLvl w:val="0"/>
        <w:rPr>
          <w:b/>
          <w:bCs/>
          <w:sz w:val="28"/>
          <w:szCs w:val="28"/>
        </w:rPr>
      </w:pPr>
      <w:bookmarkStart w:id="0" w:name="_Toc151293059"/>
      <w:r w:rsidRPr="00977931">
        <w:rPr>
          <w:b/>
          <w:bCs/>
          <w:sz w:val="28"/>
          <w:szCs w:val="28"/>
        </w:rPr>
        <w:t>Data Preprocessing</w:t>
      </w:r>
      <w:bookmarkEnd w:id="0"/>
    </w:p>
    <w:p w14:paraId="2FAC7DFD" w14:textId="13F5C299" w:rsidR="00F9569E" w:rsidRPr="00977931" w:rsidRDefault="00F9569E" w:rsidP="00F9569E">
      <w:pPr>
        <w:rPr>
          <w:sz w:val="24"/>
        </w:rPr>
      </w:pPr>
      <w:r w:rsidRPr="00977931">
        <w:rPr>
          <w:sz w:val="24"/>
        </w:rPr>
        <w:t xml:space="preserve">We first utilized data preprocessing provided by Tao to grab daily stock closing </w:t>
      </w:r>
      <w:r w:rsidR="00F8244A" w:rsidRPr="00977931">
        <w:rPr>
          <w:sz w:val="24"/>
        </w:rPr>
        <w:t>prices</w:t>
      </w:r>
      <w:r w:rsidRPr="00977931">
        <w:rPr>
          <w:sz w:val="24"/>
        </w:rPr>
        <w:t xml:space="preserve"> and calculate portfolio value and output dataset data1.csv.</w:t>
      </w:r>
    </w:p>
    <w:p w14:paraId="7E59AD14" w14:textId="77777777" w:rsidR="00F656F4" w:rsidRPr="00977931" w:rsidRDefault="00F656F4" w:rsidP="008A58B5">
      <w:pPr>
        <w:jc w:val="left"/>
        <w:rPr>
          <w:sz w:val="24"/>
        </w:rPr>
      </w:pPr>
    </w:p>
    <w:p w14:paraId="237673EC" w14:textId="688FC801" w:rsidR="00F656F4" w:rsidRPr="00977931" w:rsidRDefault="00F8244A" w:rsidP="00977931">
      <w:pPr>
        <w:outlineLvl w:val="0"/>
        <w:rPr>
          <w:rFonts w:hint="eastAsia"/>
          <w:b/>
          <w:bCs/>
          <w:sz w:val="28"/>
          <w:szCs w:val="28"/>
        </w:rPr>
      </w:pPr>
      <w:bookmarkStart w:id="1" w:name="_Toc151293060"/>
      <w:r w:rsidRPr="00977931">
        <w:rPr>
          <w:b/>
          <w:bCs/>
          <w:sz w:val="28"/>
          <w:szCs w:val="28"/>
        </w:rPr>
        <w:t>Model Construction</w:t>
      </w:r>
      <w:bookmarkEnd w:id="1"/>
    </w:p>
    <w:p w14:paraId="56D4013B" w14:textId="00D6B3DB" w:rsidR="00F8244A" w:rsidRPr="00977931" w:rsidRDefault="00F8244A" w:rsidP="00977931">
      <w:pPr>
        <w:pStyle w:val="a3"/>
        <w:numPr>
          <w:ilvl w:val="0"/>
          <w:numId w:val="3"/>
        </w:numPr>
        <w:ind w:left="357" w:firstLineChars="0" w:hanging="357"/>
        <w:jc w:val="left"/>
        <w:outlineLvl w:val="1"/>
        <w:rPr>
          <w:b/>
          <w:bCs/>
          <w:sz w:val="24"/>
        </w:rPr>
      </w:pPr>
      <w:bookmarkStart w:id="2" w:name="_Toc151293061"/>
      <w:r w:rsidRPr="00977931">
        <w:rPr>
          <w:b/>
          <w:bCs/>
          <w:sz w:val="24"/>
        </w:rPr>
        <w:t xml:space="preserve">Moving </w:t>
      </w:r>
      <w:r w:rsidR="00977931">
        <w:rPr>
          <w:b/>
          <w:bCs/>
          <w:sz w:val="24"/>
        </w:rPr>
        <w:t>A</w:t>
      </w:r>
      <w:r w:rsidRPr="00977931">
        <w:rPr>
          <w:b/>
          <w:bCs/>
          <w:sz w:val="24"/>
        </w:rPr>
        <w:t>verage</w:t>
      </w:r>
      <w:r w:rsidR="00F656F4" w:rsidRPr="00977931">
        <w:rPr>
          <w:b/>
          <w:bCs/>
          <w:sz w:val="24"/>
        </w:rPr>
        <w:t xml:space="preserve"> </w:t>
      </w:r>
      <w:r w:rsidR="00977931">
        <w:rPr>
          <w:b/>
          <w:bCs/>
          <w:sz w:val="24"/>
        </w:rPr>
        <w:t>Analysis</w:t>
      </w:r>
      <w:bookmarkEnd w:id="2"/>
    </w:p>
    <w:p w14:paraId="6787AB29" w14:textId="77777777" w:rsidR="00275305" w:rsidRPr="00977931" w:rsidRDefault="00275305" w:rsidP="00275305">
      <w:pPr>
        <w:jc w:val="left"/>
        <w:rPr>
          <w:sz w:val="24"/>
        </w:rPr>
      </w:pPr>
      <w:r w:rsidRPr="00977931">
        <w:rPr>
          <w:sz w:val="24"/>
        </w:rPr>
        <w:t>The simple moving average is calculated by taking the arithmetic mean of a given set of prices over a specified period. For our analysis, we compute both the 21-day and 200-day moving averages of the 1-year total return.</w:t>
      </w:r>
    </w:p>
    <w:p w14:paraId="5ABE2BAB" w14:textId="77777777" w:rsidR="00275305" w:rsidRPr="00977931" w:rsidRDefault="00275305" w:rsidP="00275305">
      <w:pPr>
        <w:jc w:val="left"/>
        <w:rPr>
          <w:sz w:val="24"/>
        </w:rPr>
      </w:pPr>
    </w:p>
    <w:p w14:paraId="4C9E2EEA" w14:textId="77777777" w:rsidR="00275305" w:rsidRPr="00977931" w:rsidRDefault="00275305" w:rsidP="00275305">
      <w:pPr>
        <w:jc w:val="left"/>
        <w:rPr>
          <w:sz w:val="24"/>
        </w:rPr>
      </w:pPr>
      <w:r w:rsidRPr="00977931">
        <w:rPr>
          <w:sz w:val="24"/>
        </w:rPr>
        <w:t>Firstly, we determine the 1-year total return using the formula: ((</w:t>
      </w:r>
      <w:proofErr w:type="spellStart"/>
      <w:r w:rsidRPr="00977931">
        <w:rPr>
          <w:sz w:val="24"/>
        </w:rPr>
        <w:t>end_price</w:t>
      </w:r>
      <w:proofErr w:type="spellEnd"/>
      <w:r w:rsidRPr="00977931">
        <w:rPr>
          <w:sz w:val="24"/>
        </w:rPr>
        <w:t xml:space="preserve"> + </w:t>
      </w:r>
      <w:proofErr w:type="spellStart"/>
      <w:r w:rsidRPr="00977931">
        <w:rPr>
          <w:sz w:val="24"/>
        </w:rPr>
        <w:t>total_dividends</w:t>
      </w:r>
      <w:proofErr w:type="spellEnd"/>
      <w:r w:rsidRPr="00977931">
        <w:rPr>
          <w:sz w:val="24"/>
        </w:rPr>
        <w:t xml:space="preserve">) / </w:t>
      </w:r>
      <w:proofErr w:type="spellStart"/>
      <w:r w:rsidRPr="00977931">
        <w:rPr>
          <w:sz w:val="24"/>
        </w:rPr>
        <w:t>start_price</w:t>
      </w:r>
      <w:proofErr w:type="spellEnd"/>
      <w:r w:rsidRPr="00977931">
        <w:rPr>
          <w:sz w:val="24"/>
        </w:rPr>
        <w:t>) – 1. As Yahoo Finance does not provide dividend data, we proceed with the assumption that dividends are zero. Subsequently, we calculate the 21-day and 200-day moving average returns, which are defined as follows:</w:t>
      </w:r>
    </w:p>
    <w:p w14:paraId="6B7AA125" w14:textId="77777777" w:rsidR="00275305" w:rsidRPr="00977931" w:rsidRDefault="00275305" w:rsidP="00275305">
      <w:pPr>
        <w:jc w:val="left"/>
        <w:rPr>
          <w:sz w:val="24"/>
        </w:rPr>
      </w:pPr>
    </w:p>
    <w:p w14:paraId="5A84F5FC" w14:textId="77777777" w:rsidR="00275305" w:rsidRPr="00977931" w:rsidRDefault="00275305" w:rsidP="00275305">
      <w:pPr>
        <w:jc w:val="left"/>
        <w:rPr>
          <w:sz w:val="24"/>
        </w:rPr>
      </w:pPr>
      <w:r w:rsidRPr="00977931">
        <w:rPr>
          <w:sz w:val="24"/>
        </w:rPr>
        <w:t>Where:</w:t>
      </w:r>
    </w:p>
    <w:p w14:paraId="39DDB3F7" w14:textId="571C33FB" w:rsidR="00275305" w:rsidRPr="00977931" w:rsidRDefault="00275305" w:rsidP="00977931">
      <w:pPr>
        <w:jc w:val="center"/>
        <w:rPr>
          <w:sz w:val="24"/>
        </w:rPr>
      </w:pPr>
      <w:r w:rsidRPr="00977931">
        <w:rPr>
          <w:noProof/>
          <w:sz w:val="24"/>
        </w:rPr>
        <w:drawing>
          <wp:inline distT="0" distB="0" distL="0" distR="0" wp14:anchorId="70031313" wp14:editId="40FFB983">
            <wp:extent cx="2796988" cy="704004"/>
            <wp:effectExtent l="0" t="0" r="0" b="0"/>
            <wp:docPr id="2146238984" name="图片 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8984" name="图片 2" descr="手机屏幕的截图&#10;&#10;中度可信度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811760" cy="707722"/>
                    </a:xfrm>
                    <a:prstGeom prst="rect">
                      <a:avLst/>
                    </a:prstGeom>
                  </pic:spPr>
                </pic:pic>
              </a:graphicData>
            </a:graphic>
          </wp:inline>
        </w:drawing>
      </w:r>
    </w:p>
    <w:p w14:paraId="094DE865" w14:textId="77777777" w:rsidR="00275305" w:rsidRPr="00977931" w:rsidRDefault="00275305" w:rsidP="00275305">
      <w:pPr>
        <w:jc w:val="left"/>
        <w:rPr>
          <w:sz w:val="24"/>
        </w:rPr>
      </w:pPr>
      <w:r w:rsidRPr="00977931">
        <w:rPr>
          <w:sz w:val="24"/>
        </w:rPr>
        <w:t>An = the price of an asset at period n</w:t>
      </w:r>
    </w:p>
    <w:p w14:paraId="0CD9201E" w14:textId="77777777" w:rsidR="00275305" w:rsidRPr="00977931" w:rsidRDefault="00275305" w:rsidP="00275305">
      <w:pPr>
        <w:jc w:val="left"/>
        <w:rPr>
          <w:sz w:val="24"/>
        </w:rPr>
      </w:pPr>
      <w:r w:rsidRPr="00977931">
        <w:rPr>
          <w:sz w:val="24"/>
        </w:rPr>
        <w:t>n = the number of total periods</w:t>
      </w:r>
    </w:p>
    <w:p w14:paraId="2269CA91" w14:textId="77777777" w:rsidR="00275305" w:rsidRPr="00977931" w:rsidRDefault="00275305" w:rsidP="00275305">
      <w:pPr>
        <w:jc w:val="left"/>
        <w:rPr>
          <w:sz w:val="24"/>
        </w:rPr>
      </w:pPr>
    </w:p>
    <w:p w14:paraId="43CEBCCB" w14:textId="6C08799A" w:rsidR="00275305" w:rsidRPr="00977931" w:rsidRDefault="00275305" w:rsidP="00275305">
      <w:pPr>
        <w:jc w:val="left"/>
        <w:rPr>
          <w:sz w:val="24"/>
        </w:rPr>
      </w:pPr>
      <w:r w:rsidRPr="00977931">
        <w:rPr>
          <w:sz w:val="24"/>
        </w:rPr>
        <w:t>Ultimately, we generate three separate graphs:</w:t>
      </w:r>
    </w:p>
    <w:p w14:paraId="6D2D8FB6" w14:textId="5A0D126B" w:rsidR="00275305" w:rsidRPr="00977931" w:rsidRDefault="00275305" w:rsidP="00275305">
      <w:pPr>
        <w:pStyle w:val="a3"/>
        <w:numPr>
          <w:ilvl w:val="0"/>
          <w:numId w:val="4"/>
        </w:numPr>
        <w:ind w:firstLineChars="0"/>
        <w:jc w:val="left"/>
        <w:rPr>
          <w:sz w:val="24"/>
        </w:rPr>
      </w:pPr>
      <w:r w:rsidRPr="00977931">
        <w:rPr>
          <w:sz w:val="24"/>
        </w:rPr>
        <w:t>A graph depicting each stock's 1-year total return over the time of portfolio investment.</w:t>
      </w:r>
    </w:p>
    <w:p w14:paraId="07EF27DD" w14:textId="348DF62B" w:rsidR="00275305" w:rsidRPr="00977931" w:rsidRDefault="00275305" w:rsidP="00275305">
      <w:pPr>
        <w:pStyle w:val="a3"/>
        <w:numPr>
          <w:ilvl w:val="0"/>
          <w:numId w:val="4"/>
        </w:numPr>
        <w:ind w:firstLineChars="0"/>
        <w:jc w:val="left"/>
        <w:rPr>
          <w:sz w:val="24"/>
        </w:rPr>
      </w:pPr>
      <w:r w:rsidRPr="00977931">
        <w:rPr>
          <w:sz w:val="24"/>
        </w:rPr>
        <w:t>A graph showing the 21-day moving average of the 1-year total return for each stock over the investment period.</w:t>
      </w:r>
    </w:p>
    <w:p w14:paraId="7CD90EBE" w14:textId="6DC8A233" w:rsidR="00275305" w:rsidRPr="00977931" w:rsidRDefault="00275305" w:rsidP="00275305">
      <w:pPr>
        <w:pStyle w:val="a3"/>
        <w:numPr>
          <w:ilvl w:val="0"/>
          <w:numId w:val="4"/>
        </w:numPr>
        <w:ind w:firstLineChars="0"/>
        <w:jc w:val="left"/>
        <w:rPr>
          <w:sz w:val="24"/>
        </w:rPr>
      </w:pPr>
      <w:r w:rsidRPr="00977931">
        <w:rPr>
          <w:sz w:val="24"/>
        </w:rPr>
        <w:t>A graph illustrating the 200-day moving average of the 1-year total return for each stock over the investment period.</w:t>
      </w:r>
    </w:p>
    <w:p w14:paraId="1440C185" w14:textId="77777777" w:rsidR="00275305" w:rsidRPr="00977931" w:rsidRDefault="00275305" w:rsidP="00977931">
      <w:pPr>
        <w:jc w:val="left"/>
        <w:rPr>
          <w:sz w:val="24"/>
        </w:rPr>
      </w:pPr>
    </w:p>
    <w:p w14:paraId="6CD0C250" w14:textId="2FD32C11" w:rsidR="00275305" w:rsidRPr="00977931" w:rsidRDefault="00275305" w:rsidP="00275305">
      <w:pPr>
        <w:jc w:val="left"/>
        <w:rPr>
          <w:sz w:val="24"/>
        </w:rPr>
      </w:pPr>
      <w:r w:rsidRPr="00977931">
        <w:rPr>
          <w:sz w:val="24"/>
        </w:rPr>
        <w:t>The re</w:t>
      </w:r>
      <w:r w:rsidR="00977931" w:rsidRPr="00977931">
        <w:rPr>
          <w:sz w:val="24"/>
        </w:rPr>
        <w:t>s</w:t>
      </w:r>
      <w:r w:rsidRPr="00977931">
        <w:rPr>
          <w:sz w:val="24"/>
        </w:rPr>
        <w:t xml:space="preserve">ults of the 1-year total return and the moving average computations are saved in a CSV file. This allows users to easily export both the graphical plots and the </w:t>
      </w:r>
      <w:r w:rsidRPr="00977931">
        <w:rPr>
          <w:sz w:val="24"/>
        </w:rPr>
        <w:lastRenderedPageBreak/>
        <w:t>dataset into CSV format for further analysis</w:t>
      </w:r>
      <w:r w:rsidRPr="00977931">
        <w:rPr>
          <w:sz w:val="24"/>
        </w:rPr>
        <w:t>.</w:t>
      </w:r>
    </w:p>
    <w:p w14:paraId="55825DB5" w14:textId="77777777" w:rsidR="00275305" w:rsidRPr="00977931" w:rsidRDefault="00275305" w:rsidP="00275305">
      <w:pPr>
        <w:jc w:val="left"/>
        <w:rPr>
          <w:sz w:val="24"/>
        </w:rPr>
      </w:pPr>
    </w:p>
    <w:p w14:paraId="42DF5174" w14:textId="0243E3DA" w:rsidR="00977931" w:rsidRPr="00977931" w:rsidRDefault="007B1ECC" w:rsidP="00977931">
      <w:pPr>
        <w:pStyle w:val="a3"/>
        <w:numPr>
          <w:ilvl w:val="0"/>
          <w:numId w:val="3"/>
        </w:numPr>
        <w:ind w:left="357" w:firstLineChars="0" w:hanging="357"/>
        <w:jc w:val="left"/>
        <w:outlineLvl w:val="1"/>
        <w:rPr>
          <w:b/>
          <w:bCs/>
          <w:sz w:val="24"/>
        </w:rPr>
      </w:pPr>
      <w:bookmarkStart w:id="3" w:name="_Toc151293062"/>
      <w:r w:rsidRPr="00977931">
        <w:rPr>
          <w:b/>
          <w:bCs/>
          <w:sz w:val="24"/>
        </w:rPr>
        <w:t xml:space="preserve">Risk </w:t>
      </w:r>
      <w:r w:rsidR="00977931" w:rsidRPr="00977931">
        <w:rPr>
          <w:b/>
          <w:bCs/>
          <w:sz w:val="24"/>
        </w:rPr>
        <w:t>A</w:t>
      </w:r>
      <w:r w:rsidRPr="00977931">
        <w:rPr>
          <w:b/>
          <w:bCs/>
          <w:sz w:val="24"/>
        </w:rPr>
        <w:t xml:space="preserve">ttribution </w:t>
      </w:r>
      <w:proofErr w:type="spellStart"/>
      <w:r w:rsidR="00977931" w:rsidRPr="00977931">
        <w:rPr>
          <w:b/>
          <w:bCs/>
          <w:sz w:val="24"/>
        </w:rPr>
        <w:t>A</w:t>
      </w:r>
      <w:r w:rsidRPr="00977931">
        <w:rPr>
          <w:b/>
          <w:bCs/>
          <w:sz w:val="24"/>
        </w:rPr>
        <w:t>nalysis</w:t>
      </w:r>
      <w:bookmarkEnd w:id="3"/>
      <w:proofErr w:type="spellEnd"/>
    </w:p>
    <w:p w14:paraId="2F89A1CD" w14:textId="247F4DFB" w:rsidR="007B1ECC" w:rsidRPr="00977931" w:rsidRDefault="007B1ECC" w:rsidP="00977931">
      <w:pPr>
        <w:rPr>
          <w:sz w:val="24"/>
        </w:rPr>
      </w:pPr>
      <w:r w:rsidRPr="00977931">
        <w:rPr>
          <w:sz w:val="24"/>
        </w:rPr>
        <w:t>Overall, our calculation of risk attribution utilized a weighted average of risk attribution of different stocks.</w:t>
      </w:r>
    </w:p>
    <w:p w14:paraId="3B4E949F" w14:textId="66A0E101" w:rsidR="007B1ECC" w:rsidRPr="00977931" w:rsidRDefault="007B1ECC" w:rsidP="00977931">
      <w:pPr>
        <w:pStyle w:val="a3"/>
        <w:ind w:left="840" w:firstLineChars="0" w:firstLine="0"/>
        <w:jc w:val="center"/>
        <w:rPr>
          <w:sz w:val="24"/>
        </w:rPr>
      </w:pPr>
      <w:r w:rsidRPr="00977931">
        <w:rPr>
          <w:noProof/>
          <w:sz w:val="24"/>
        </w:rPr>
        <w:drawing>
          <wp:inline distT="0" distB="0" distL="0" distR="0" wp14:anchorId="68A29356" wp14:editId="1B3D60B7">
            <wp:extent cx="2785145" cy="520408"/>
            <wp:effectExtent l="0" t="0" r="0" b="635"/>
            <wp:docPr id="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859751" cy="534348"/>
                    </a:xfrm>
                    <a:prstGeom prst="rect">
                      <a:avLst/>
                    </a:prstGeom>
                  </pic:spPr>
                </pic:pic>
              </a:graphicData>
            </a:graphic>
          </wp:inline>
        </w:drawing>
      </w:r>
    </w:p>
    <w:p w14:paraId="27877CAA" w14:textId="77777777" w:rsidR="00275305" w:rsidRPr="00977931" w:rsidRDefault="00275305" w:rsidP="00275305">
      <w:pPr>
        <w:rPr>
          <w:sz w:val="24"/>
        </w:rPr>
      </w:pPr>
    </w:p>
    <w:p w14:paraId="44E4E2F7" w14:textId="6CD52B38" w:rsidR="007B1ECC" w:rsidRPr="00977931" w:rsidRDefault="007B1ECC" w:rsidP="00275305">
      <w:pPr>
        <w:rPr>
          <w:sz w:val="24"/>
        </w:rPr>
      </w:pPr>
      <w:r w:rsidRPr="00977931">
        <w:rPr>
          <w:sz w:val="24"/>
        </w:rPr>
        <w:t xml:space="preserve">The formula for </w:t>
      </w:r>
      <w:r w:rsidR="00977931" w:rsidRPr="00977931">
        <w:rPr>
          <w:sz w:val="24"/>
        </w:rPr>
        <w:t xml:space="preserve">the </w:t>
      </w:r>
      <w:r w:rsidRPr="00977931">
        <w:rPr>
          <w:sz w:val="24"/>
        </w:rPr>
        <w:t>marginal risk contribution of each stock is determined by the volatility and correlation with portfolio, as shown below:</w:t>
      </w:r>
    </w:p>
    <w:p w14:paraId="4C5AFB86" w14:textId="265404B6" w:rsidR="007B1ECC" w:rsidRPr="00977931" w:rsidRDefault="007B1ECC" w:rsidP="00977931">
      <w:pPr>
        <w:pStyle w:val="a3"/>
        <w:ind w:left="840" w:firstLineChars="0" w:firstLine="0"/>
        <w:jc w:val="center"/>
        <w:rPr>
          <w:sz w:val="24"/>
        </w:rPr>
      </w:pPr>
      <w:r w:rsidRPr="00977931">
        <w:rPr>
          <w:noProof/>
          <w:sz w:val="24"/>
        </w:rPr>
        <w:drawing>
          <wp:inline distT="0" distB="0" distL="0" distR="0" wp14:anchorId="354DE7FF" wp14:editId="75DE2791">
            <wp:extent cx="1828800" cy="470517"/>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1885886" cy="485204"/>
                    </a:xfrm>
                    <a:prstGeom prst="rect">
                      <a:avLst/>
                    </a:prstGeom>
                  </pic:spPr>
                </pic:pic>
              </a:graphicData>
            </a:graphic>
          </wp:inline>
        </w:drawing>
      </w:r>
    </w:p>
    <w:p w14:paraId="7BF9FC5A" w14:textId="32FE204D" w:rsidR="007B1ECC" w:rsidRPr="00977931" w:rsidRDefault="007B1ECC" w:rsidP="00275305">
      <w:pPr>
        <w:rPr>
          <w:sz w:val="24"/>
        </w:rPr>
      </w:pPr>
      <w:r w:rsidRPr="00977931">
        <w:rPr>
          <w:sz w:val="24"/>
        </w:rPr>
        <w:t>Then after knowing the overall process, we will need to calculate portfolio value, standard deviation and stock weight, standard deviation as shown in the python code Vol.py. Worth noticing is that we calculate volatility using 21 days rolling window, as for a month’s trading days.</w:t>
      </w:r>
    </w:p>
    <w:p w14:paraId="7E52F324" w14:textId="77777777" w:rsidR="00275305" w:rsidRPr="00977931" w:rsidRDefault="00275305" w:rsidP="00275305">
      <w:pPr>
        <w:rPr>
          <w:sz w:val="24"/>
        </w:rPr>
      </w:pPr>
    </w:p>
    <w:p w14:paraId="13C88AC5" w14:textId="4DC52414" w:rsidR="007B1ECC" w:rsidRPr="00977931" w:rsidRDefault="00275305" w:rsidP="00275305">
      <w:pPr>
        <w:rPr>
          <w:sz w:val="24"/>
        </w:rPr>
      </w:pPr>
      <w:r w:rsidRPr="00977931">
        <w:rPr>
          <w:sz w:val="24"/>
        </w:rPr>
        <w:t>Finally, w</w:t>
      </w:r>
      <w:r w:rsidR="007B1ECC" w:rsidRPr="00977931">
        <w:rPr>
          <w:sz w:val="24"/>
        </w:rPr>
        <w:t>e will have a graph of different stocks’ risk contribution over the portfolio investing time</w:t>
      </w:r>
      <w:r w:rsidRPr="00977931">
        <w:rPr>
          <w:sz w:val="24"/>
        </w:rPr>
        <w:t xml:space="preserve">. Meanwhile, </w:t>
      </w:r>
      <w:r w:rsidR="007B1ECC" w:rsidRPr="00977931">
        <w:rPr>
          <w:sz w:val="24"/>
        </w:rPr>
        <w:t>we will have the output data set df1 in the python file, with last column “PC” as each stock each day’s risk contribution. Users can directly output the plot and dataset into excel for further analysis</w:t>
      </w:r>
      <w:r w:rsidRPr="00977931">
        <w:rPr>
          <w:sz w:val="24"/>
        </w:rPr>
        <w:t>.</w:t>
      </w:r>
    </w:p>
    <w:p w14:paraId="4E735DE6" w14:textId="77777777" w:rsidR="000F6308" w:rsidRPr="00977931" w:rsidRDefault="000F6308" w:rsidP="000F6308">
      <w:pPr>
        <w:rPr>
          <w:sz w:val="24"/>
        </w:rPr>
      </w:pPr>
    </w:p>
    <w:p w14:paraId="181002D2" w14:textId="31606606" w:rsidR="00977931" w:rsidRPr="00977931" w:rsidRDefault="000F6308" w:rsidP="00244586">
      <w:pPr>
        <w:pStyle w:val="a3"/>
        <w:numPr>
          <w:ilvl w:val="0"/>
          <w:numId w:val="3"/>
        </w:numPr>
        <w:ind w:left="357" w:firstLineChars="0" w:hanging="357"/>
        <w:jc w:val="left"/>
        <w:outlineLvl w:val="1"/>
        <w:rPr>
          <w:b/>
          <w:bCs/>
          <w:sz w:val="24"/>
        </w:rPr>
      </w:pPr>
      <w:bookmarkStart w:id="4" w:name="_Toc151293063"/>
      <w:r w:rsidRPr="00977931">
        <w:rPr>
          <w:b/>
          <w:bCs/>
          <w:sz w:val="24"/>
        </w:rPr>
        <w:t xml:space="preserve">Return </w:t>
      </w:r>
      <w:r w:rsidR="00977931">
        <w:rPr>
          <w:b/>
          <w:bCs/>
          <w:sz w:val="24"/>
        </w:rPr>
        <w:t>A</w:t>
      </w:r>
      <w:r w:rsidRPr="00977931">
        <w:rPr>
          <w:b/>
          <w:bCs/>
          <w:sz w:val="24"/>
        </w:rPr>
        <w:t>ttribution</w:t>
      </w:r>
      <w:r w:rsidR="00244586" w:rsidRPr="00977931">
        <w:rPr>
          <w:b/>
          <w:bCs/>
          <w:sz w:val="24"/>
        </w:rPr>
        <w:t xml:space="preserve"> </w:t>
      </w:r>
      <w:r w:rsidR="00977931">
        <w:rPr>
          <w:b/>
          <w:bCs/>
          <w:sz w:val="24"/>
        </w:rPr>
        <w:t>Analysis</w:t>
      </w:r>
      <w:r w:rsidR="00244586" w:rsidRPr="00977931">
        <w:rPr>
          <w:b/>
          <w:bCs/>
          <w:sz w:val="24"/>
        </w:rPr>
        <w:t>:</w:t>
      </w:r>
      <w:bookmarkEnd w:id="4"/>
    </w:p>
    <w:p w14:paraId="400D3A8F" w14:textId="655D5CC8" w:rsidR="00977931" w:rsidRPr="00977931" w:rsidRDefault="00977931" w:rsidP="00244586">
      <w:pPr>
        <w:rPr>
          <w:sz w:val="24"/>
        </w:rPr>
      </w:pPr>
      <w:r w:rsidRPr="00977931">
        <w:rPr>
          <w:sz w:val="24"/>
        </w:rPr>
        <w:t>In analyzing return contribution, we consider factors such as portfolio weights and the returns of individual securities or sectors. The return contribution is determined by multiplying the weight of a security or sector within the portfolio by its respective return</w:t>
      </w:r>
      <w:r>
        <w:rPr>
          <w:sz w:val="24"/>
        </w:rPr>
        <w:t>.</w:t>
      </w:r>
    </w:p>
    <w:p w14:paraId="00C86251" w14:textId="7E2788B8" w:rsidR="00244586" w:rsidRPr="00977931" w:rsidRDefault="00244586" w:rsidP="00977931">
      <w:pPr>
        <w:jc w:val="center"/>
        <w:rPr>
          <w:sz w:val="24"/>
        </w:rPr>
      </w:pPr>
      <w:r w:rsidRPr="00977931">
        <w:rPr>
          <w:noProof/>
          <w:sz w:val="24"/>
        </w:rPr>
        <w:drawing>
          <wp:inline distT="0" distB="0" distL="0" distR="0" wp14:anchorId="4DB4F042" wp14:editId="78A0D4E8">
            <wp:extent cx="1485900" cy="571500"/>
            <wp:effectExtent l="0" t="0" r="0" b="0"/>
            <wp:docPr id="2139006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06752" name="图片 2139006752"/>
                    <pic:cNvPicPr/>
                  </pic:nvPicPr>
                  <pic:blipFill>
                    <a:blip r:embed="rId9">
                      <a:extLst>
                        <a:ext uri="{28A0092B-C50C-407E-A947-70E740481C1C}">
                          <a14:useLocalDpi xmlns:a14="http://schemas.microsoft.com/office/drawing/2010/main" val="0"/>
                        </a:ext>
                      </a:extLst>
                    </a:blip>
                    <a:stretch>
                      <a:fillRect/>
                    </a:stretch>
                  </pic:blipFill>
                  <pic:spPr>
                    <a:xfrm>
                      <a:off x="0" y="0"/>
                      <a:ext cx="1485900" cy="571500"/>
                    </a:xfrm>
                    <a:prstGeom prst="rect">
                      <a:avLst/>
                    </a:prstGeom>
                  </pic:spPr>
                </pic:pic>
              </a:graphicData>
            </a:graphic>
          </wp:inline>
        </w:drawing>
      </w:r>
    </w:p>
    <w:p w14:paraId="2A3D37D0" w14:textId="77777777" w:rsidR="00244586" w:rsidRPr="00977931" w:rsidRDefault="00244586" w:rsidP="00244586">
      <w:pPr>
        <w:rPr>
          <w:sz w:val="24"/>
        </w:rPr>
      </w:pPr>
      <w:proofErr w:type="gramStart"/>
      <w:r w:rsidRPr="00977931">
        <w:rPr>
          <w:sz w:val="24"/>
        </w:rPr>
        <w:t>where</w:t>
      </w:r>
      <w:proofErr w:type="gramEnd"/>
    </w:p>
    <w:p w14:paraId="0992DD7D" w14:textId="77777777" w:rsidR="00244586" w:rsidRPr="00977931" w:rsidRDefault="00244586" w:rsidP="00244586">
      <w:pPr>
        <w:rPr>
          <w:sz w:val="24"/>
        </w:rPr>
      </w:pPr>
      <w:r w:rsidRPr="00977931">
        <w:rPr>
          <w:sz w:val="24"/>
        </w:rPr>
        <w:t xml:space="preserve"> n = the number of sectors or securities in the portfolio</w:t>
      </w:r>
    </w:p>
    <w:p w14:paraId="753827B1" w14:textId="596B6444" w:rsidR="00244586" w:rsidRPr="00977931" w:rsidRDefault="00244586" w:rsidP="00244586">
      <w:pPr>
        <w:rPr>
          <w:sz w:val="24"/>
        </w:rPr>
      </w:pPr>
      <w:r w:rsidRPr="00977931">
        <w:rPr>
          <w:sz w:val="24"/>
        </w:rPr>
        <w:t xml:space="preserve"> </w:t>
      </w:r>
      <w:proofErr w:type="spellStart"/>
      <w:r w:rsidRPr="00977931">
        <w:rPr>
          <w:sz w:val="24"/>
        </w:rPr>
        <w:t>wi</w:t>
      </w:r>
      <w:proofErr w:type="spellEnd"/>
      <w:r w:rsidRPr="00977931">
        <w:rPr>
          <w:sz w:val="24"/>
        </w:rPr>
        <w:t xml:space="preserve"> </w:t>
      </w:r>
      <w:r w:rsidRPr="00977931">
        <w:rPr>
          <w:sz w:val="24"/>
        </w:rPr>
        <w:t>= the weight of the sector or security in the portfolio</w:t>
      </w:r>
    </w:p>
    <w:p w14:paraId="092615B8" w14:textId="77777777" w:rsidR="00244586" w:rsidRPr="00977931" w:rsidRDefault="00244586" w:rsidP="000F6308">
      <w:pPr>
        <w:rPr>
          <w:sz w:val="24"/>
        </w:rPr>
      </w:pPr>
      <w:r w:rsidRPr="00977931">
        <w:rPr>
          <w:sz w:val="24"/>
        </w:rPr>
        <w:t xml:space="preserve"> Ri</w:t>
      </w:r>
      <w:r w:rsidRPr="00977931">
        <w:rPr>
          <w:sz w:val="24"/>
        </w:rPr>
        <w:t xml:space="preserve"> </w:t>
      </w:r>
      <w:r w:rsidRPr="00977931">
        <w:rPr>
          <w:sz w:val="24"/>
        </w:rPr>
        <w:t>= the return of the sector or security in the portfolio</w:t>
      </w:r>
    </w:p>
    <w:p w14:paraId="7A9AF74B" w14:textId="62A4F137" w:rsidR="00244586" w:rsidRPr="00977931" w:rsidRDefault="00244586" w:rsidP="000F6308">
      <w:pPr>
        <w:rPr>
          <w:sz w:val="24"/>
        </w:rPr>
      </w:pPr>
      <w:proofErr w:type="spellStart"/>
      <w:r w:rsidRPr="00977931">
        <w:rPr>
          <w:sz w:val="24"/>
        </w:rPr>
        <w:t>wiRi</w:t>
      </w:r>
      <w:proofErr w:type="spellEnd"/>
      <w:r w:rsidRPr="00977931">
        <w:rPr>
          <w:sz w:val="24"/>
        </w:rPr>
        <w:t xml:space="preserve"> = the contribution to portfolio return</w:t>
      </w:r>
    </w:p>
    <w:p w14:paraId="40EBDDCD" w14:textId="77777777" w:rsidR="00244586" w:rsidRPr="00977931" w:rsidRDefault="00244586" w:rsidP="000F6308">
      <w:pPr>
        <w:rPr>
          <w:sz w:val="24"/>
        </w:rPr>
      </w:pPr>
    </w:p>
    <w:p w14:paraId="2964A6FD" w14:textId="77777777" w:rsidR="00977931" w:rsidRDefault="00977931" w:rsidP="00F2650E">
      <w:pPr>
        <w:rPr>
          <w:sz w:val="24"/>
        </w:rPr>
      </w:pPr>
      <w:r w:rsidRPr="00977931">
        <w:rPr>
          <w:sz w:val="24"/>
        </w:rPr>
        <w:t xml:space="preserve">For calculating daily returns in Python, we employ the </w:t>
      </w:r>
      <w:proofErr w:type="spellStart"/>
      <w:r w:rsidRPr="00977931">
        <w:rPr>
          <w:sz w:val="24"/>
        </w:rPr>
        <w:t>pct_</w:t>
      </w:r>
      <w:proofErr w:type="gramStart"/>
      <w:r w:rsidRPr="00977931">
        <w:rPr>
          <w:sz w:val="24"/>
        </w:rPr>
        <w:t>change</w:t>
      </w:r>
      <w:proofErr w:type="spellEnd"/>
      <w:r w:rsidRPr="00977931">
        <w:rPr>
          <w:sz w:val="24"/>
        </w:rPr>
        <w:t>(</w:t>
      </w:r>
      <w:proofErr w:type="gramEnd"/>
      <w:r w:rsidRPr="00977931">
        <w:rPr>
          <w:sz w:val="24"/>
        </w:rPr>
        <w:t>) function, which operates on the formula:</w:t>
      </w:r>
    </w:p>
    <w:p w14:paraId="70EB85EF" w14:textId="32029D98" w:rsidR="00F2650E" w:rsidRPr="00977931" w:rsidRDefault="00F2650E" w:rsidP="00F2650E">
      <w:pPr>
        <w:rPr>
          <w:i/>
          <w:iCs/>
          <w:sz w:val="24"/>
        </w:rPr>
      </w:pPr>
      <m:oMathPara>
        <m:oMath>
          <m:r>
            <w:rPr>
              <w:rFonts w:ascii="Cambria Math" w:hAnsi="Cambria Math"/>
              <w:sz w:val="24"/>
            </w:rPr>
            <m:t>Ri =</m:t>
          </m:r>
          <m:d>
            <m:dPr>
              <m:ctrlPr>
                <w:rPr>
                  <w:rFonts w:ascii="Cambria Math" w:hAnsi="Cambria Math"/>
                  <w:i/>
                  <w:iCs/>
                  <w:sz w:val="24"/>
                </w:rPr>
              </m:ctrlPr>
            </m:dPr>
            <m:e>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p</m:t>
                      </m:r>
                    </m:e>
                    <m:sub>
                      <m:r>
                        <w:rPr>
                          <w:rFonts w:ascii="Cambria Math" w:hAnsi="Cambria Math"/>
                          <w:sz w:val="24"/>
                        </w:rPr>
                        <m:t>t</m:t>
                      </m:r>
                    </m:sub>
                  </m:sSub>
                </m:num>
                <m:den>
                  <m:sSub>
                    <m:sSubPr>
                      <m:ctrlPr>
                        <w:rPr>
                          <w:rFonts w:ascii="Cambria Math" w:hAnsi="Cambria Math"/>
                          <w:i/>
                          <w:iCs/>
                          <w:sz w:val="24"/>
                        </w:rPr>
                      </m:ctrlPr>
                    </m:sSubPr>
                    <m:e>
                      <m:r>
                        <w:rPr>
                          <w:rFonts w:ascii="Cambria Math" w:hAnsi="Cambria Math"/>
                          <w:sz w:val="24"/>
                        </w:rPr>
                        <m:t>p</m:t>
                      </m:r>
                    </m:e>
                    <m:sub>
                      <m:r>
                        <w:rPr>
                          <w:rFonts w:ascii="Cambria Math" w:hAnsi="Cambria Math"/>
                          <w:sz w:val="24"/>
                        </w:rPr>
                        <m:t>t-1</m:t>
                      </m:r>
                    </m:sub>
                  </m:sSub>
                </m:den>
              </m:f>
              <m:r>
                <w:rPr>
                  <w:rFonts w:ascii="Cambria Math" w:hAnsi="Cambria Math"/>
                  <w:sz w:val="24"/>
                </w:rPr>
                <m:t>-1</m:t>
              </m:r>
            </m:e>
          </m:d>
          <m:r>
            <w:rPr>
              <w:rFonts w:ascii="Cambria Math" w:hAnsi="Cambria Math"/>
              <w:sz w:val="24"/>
            </w:rPr>
            <m:t>×100%</m:t>
          </m:r>
        </m:oMath>
      </m:oMathPara>
    </w:p>
    <w:p w14:paraId="6CE480E9" w14:textId="6EA0B1CC" w:rsidR="00244586" w:rsidRPr="00977931" w:rsidRDefault="00F2650E" w:rsidP="00F2650E">
      <w:pPr>
        <w:rPr>
          <w:sz w:val="24"/>
        </w:rPr>
      </w:pPr>
      <w:r w:rsidRPr="00977931">
        <w:rPr>
          <w:sz w:val="24"/>
        </w:rPr>
        <w:t xml:space="preserve">Here, </w:t>
      </w:r>
      <w:r w:rsidRPr="00977931">
        <w:rPr>
          <w:sz w:val="24"/>
        </w:rPr>
        <w:t>Ri</w:t>
      </w:r>
      <w:r w:rsidRPr="00977931">
        <w:rPr>
          <w:sz w:val="24"/>
        </w:rPr>
        <w:t xml:space="preserve"> represents the return at time </w:t>
      </w:r>
      <w:proofErr w:type="spellStart"/>
      <w:r w:rsidRPr="00977931">
        <w:rPr>
          <w:sz w:val="24"/>
        </w:rPr>
        <w:t>i</w:t>
      </w:r>
      <w:proofErr w:type="spellEnd"/>
      <w:r w:rsidRPr="00977931">
        <w:rPr>
          <w:sz w:val="24"/>
        </w:rPr>
        <w:t xml:space="preserve">, </w:t>
      </w:r>
      <m:oMath>
        <m:sSub>
          <m:sSubPr>
            <m:ctrlPr>
              <w:rPr>
                <w:rFonts w:ascii="Cambria Math" w:hAnsi="Cambria Math"/>
                <w:i/>
                <w:iCs/>
                <w:sz w:val="24"/>
              </w:rPr>
            </m:ctrlPr>
          </m:sSubPr>
          <m:e>
            <m:r>
              <w:rPr>
                <w:rFonts w:ascii="Cambria Math" w:hAnsi="Cambria Math"/>
                <w:sz w:val="24"/>
              </w:rPr>
              <m:t>p</m:t>
            </m:r>
          </m:e>
          <m:sub>
            <m:r>
              <w:rPr>
                <w:rFonts w:ascii="Cambria Math" w:hAnsi="Cambria Math"/>
                <w:sz w:val="24"/>
              </w:rPr>
              <m:t>t</m:t>
            </m:r>
          </m:sub>
        </m:sSub>
      </m:oMath>
      <w:r w:rsidRPr="00977931">
        <w:rPr>
          <w:sz w:val="24"/>
        </w:rPr>
        <w:t xml:space="preserve"> is the price at time t, and </w:t>
      </w:r>
      <m:oMath>
        <m:sSub>
          <m:sSubPr>
            <m:ctrlPr>
              <w:rPr>
                <w:rFonts w:ascii="Cambria Math" w:hAnsi="Cambria Math"/>
                <w:i/>
                <w:iCs/>
                <w:sz w:val="24"/>
              </w:rPr>
            </m:ctrlPr>
          </m:sSubPr>
          <m:e>
            <m:r>
              <w:rPr>
                <w:rFonts w:ascii="Cambria Math" w:hAnsi="Cambria Math"/>
                <w:sz w:val="24"/>
              </w:rPr>
              <m:t>p</m:t>
            </m:r>
          </m:e>
          <m:sub>
            <m:r>
              <w:rPr>
                <w:rFonts w:ascii="Cambria Math" w:hAnsi="Cambria Math"/>
                <w:sz w:val="24"/>
              </w:rPr>
              <m:t>t-1</m:t>
            </m:r>
          </m:sub>
        </m:sSub>
      </m:oMath>
      <w:r w:rsidRPr="00977931">
        <w:rPr>
          <w:iCs/>
          <w:sz w:val="24"/>
        </w:rPr>
        <w:t xml:space="preserve"> </w:t>
      </w:r>
      <w:r w:rsidRPr="00977931">
        <w:rPr>
          <w:sz w:val="24"/>
        </w:rPr>
        <w:t>is the price at time t - 1.</w:t>
      </w:r>
    </w:p>
    <w:p w14:paraId="15F13552" w14:textId="77777777" w:rsidR="00F2650E" w:rsidRDefault="00F2650E" w:rsidP="00F2650E">
      <w:pPr>
        <w:rPr>
          <w:sz w:val="24"/>
        </w:rPr>
      </w:pPr>
    </w:p>
    <w:p w14:paraId="4891C4D2" w14:textId="77777777" w:rsidR="00FA75D1" w:rsidRPr="00FA75D1" w:rsidRDefault="00FA75D1" w:rsidP="00FA75D1">
      <w:pPr>
        <w:rPr>
          <w:sz w:val="24"/>
        </w:rPr>
      </w:pPr>
      <w:r w:rsidRPr="00FA75D1">
        <w:rPr>
          <w:sz w:val="24"/>
        </w:rPr>
        <w:lastRenderedPageBreak/>
        <w:t>The weight of a stock within the portfolio is defined as the ratio of the amount of stock held to the total value of the portfolio.</w:t>
      </w:r>
    </w:p>
    <w:p w14:paraId="1B3891E5" w14:textId="77777777" w:rsidR="00FA75D1" w:rsidRPr="00FA75D1" w:rsidRDefault="00FA75D1" w:rsidP="00FA75D1">
      <w:pPr>
        <w:rPr>
          <w:sz w:val="24"/>
        </w:rPr>
      </w:pPr>
    </w:p>
    <w:p w14:paraId="012C589B" w14:textId="14B52B93" w:rsidR="00244586" w:rsidRPr="00977931" w:rsidRDefault="00FA75D1" w:rsidP="00FA75D1">
      <w:pPr>
        <w:rPr>
          <w:sz w:val="24"/>
        </w:rPr>
      </w:pPr>
      <w:r w:rsidRPr="00FA75D1">
        <w:rPr>
          <w:sz w:val="24"/>
        </w:rPr>
        <w:t>After completing these calculations, we generate a graph that visually represents the return attribution of each stock over the investment period. For convenience and further examination, the return attribution data is stored in a CSV file</w:t>
      </w:r>
      <w:r>
        <w:rPr>
          <w:rFonts w:hint="eastAsia"/>
          <w:sz w:val="24"/>
        </w:rPr>
        <w:t>.</w:t>
      </w:r>
    </w:p>
    <w:sectPr w:rsidR="00244586" w:rsidRPr="009779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简">
    <w:altName w:val="宋体"/>
    <w:panose1 w:val="02010600040101010101"/>
    <w:charset w:val="86"/>
    <w:family w:val="auto"/>
    <w:pitch w:val="variable"/>
    <w:sig w:usb0="00000287" w:usb1="080F0000" w:usb2="00000010"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05A"/>
    <w:multiLevelType w:val="hybridMultilevel"/>
    <w:tmpl w:val="652A8846"/>
    <w:lvl w:ilvl="0" w:tplc="4EA6CE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3D6366"/>
    <w:multiLevelType w:val="hybridMultilevel"/>
    <w:tmpl w:val="CD7C99B6"/>
    <w:lvl w:ilvl="0" w:tplc="D982CD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B0F5385"/>
    <w:multiLevelType w:val="hybridMultilevel"/>
    <w:tmpl w:val="29C6D39C"/>
    <w:lvl w:ilvl="0" w:tplc="B53E84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3EA55E1"/>
    <w:multiLevelType w:val="hybridMultilevel"/>
    <w:tmpl w:val="D89A138C"/>
    <w:lvl w:ilvl="0" w:tplc="C0F876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46242381">
    <w:abstractNumId w:val="0"/>
  </w:num>
  <w:num w:numId="2" w16cid:durableId="1725326668">
    <w:abstractNumId w:val="1"/>
  </w:num>
  <w:num w:numId="3" w16cid:durableId="739668691">
    <w:abstractNumId w:val="2"/>
  </w:num>
  <w:num w:numId="4" w16cid:durableId="1340352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CC"/>
    <w:rsid w:val="000F6308"/>
    <w:rsid w:val="00244586"/>
    <w:rsid w:val="00275305"/>
    <w:rsid w:val="00277C7F"/>
    <w:rsid w:val="007B1ECC"/>
    <w:rsid w:val="008A58B5"/>
    <w:rsid w:val="009401C9"/>
    <w:rsid w:val="00977931"/>
    <w:rsid w:val="00A46398"/>
    <w:rsid w:val="00BE3251"/>
    <w:rsid w:val="00C25C09"/>
    <w:rsid w:val="00F2650E"/>
    <w:rsid w:val="00F656F4"/>
    <w:rsid w:val="00F8244A"/>
    <w:rsid w:val="00F9569E"/>
    <w:rsid w:val="00FA7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3593"/>
  <w15:chartTrackingRefBased/>
  <w15:docId w15:val="{ADD42728-01C1-654A-8A93-987A7E6A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简" w:hAnsi="Times New Roman" w:cs="Times New Roman"/>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ECC"/>
    <w:pPr>
      <w:ind w:firstLineChars="200" w:firstLine="420"/>
    </w:pPr>
  </w:style>
  <w:style w:type="paragraph" w:styleId="TOC1">
    <w:name w:val="toc 1"/>
    <w:basedOn w:val="a"/>
    <w:next w:val="a"/>
    <w:autoRedefine/>
    <w:uiPriority w:val="39"/>
    <w:unhideWhenUsed/>
    <w:rsid w:val="00977931"/>
    <w:pPr>
      <w:tabs>
        <w:tab w:val="right" w:leader="dot" w:pos="8296"/>
      </w:tabs>
    </w:pPr>
    <w:rPr>
      <w:b/>
      <w:bCs/>
      <w:noProof/>
      <w:sz w:val="24"/>
      <w:szCs w:val="32"/>
    </w:rPr>
  </w:style>
  <w:style w:type="paragraph" w:styleId="TOC2">
    <w:name w:val="toc 2"/>
    <w:basedOn w:val="a"/>
    <w:next w:val="a"/>
    <w:autoRedefine/>
    <w:uiPriority w:val="39"/>
    <w:unhideWhenUsed/>
    <w:rsid w:val="00977931"/>
    <w:pPr>
      <w:ind w:leftChars="200" w:left="420"/>
    </w:pPr>
  </w:style>
  <w:style w:type="character" w:styleId="a4">
    <w:name w:val="Hyperlink"/>
    <w:basedOn w:val="a0"/>
    <w:uiPriority w:val="99"/>
    <w:unhideWhenUsed/>
    <w:rsid w:val="00977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03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6704C-2AAC-5C42-8873-71C8467A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Qini</dc:creator>
  <cp:keywords/>
  <dc:description/>
  <cp:lastModifiedBy>ltw</cp:lastModifiedBy>
  <cp:revision>3</cp:revision>
  <dcterms:created xsi:type="dcterms:W3CDTF">2023-11-18T19:04:00Z</dcterms:created>
  <dcterms:modified xsi:type="dcterms:W3CDTF">2023-11-19T18:32:00Z</dcterms:modified>
</cp:coreProperties>
</file>