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before="0"/>
        <w:jc w:val="center"/>
      </w:pPr>
      <w:r>
        <w:rPr>
          <w:rFonts w:ascii="Arial" w:cs="Arial" w:eastAsia="Arial" w:hAnsi="Arial"/>
          <w:b/>
          <w:bCs/>
          <w:color w:val="1B3A6B"/>
          <w:sz w:val="80"/>
          <w:szCs w:val="80"/>
        </w:rPr>
        <w:t xml:space="preserve">PayForce</w:t>
      </w:r>
    </w:p>
    <w:p>
      <w:pPr>
        <w:spacing w:after="80" w:before="0"/>
        <w:jc w:val="center"/>
      </w:pPr>
      <w:r>
        <w:rPr>
          <w:rFonts w:ascii="Arial" w:cs="Arial" w:eastAsia="Arial" w:hAnsi="Arial"/>
          <w:color w:val="0F6E56"/>
          <w:sz w:val="32"/>
          <w:szCs w:val="32"/>
        </w:rPr>
        <w:t xml:space="preserve">Product Intelligence &amp; Build Reference</w:t>
      </w:r>
    </w:p>
    <w:p>
      <w:pPr>
        <w:spacing w:after="600" w:before="0"/>
        <w:jc w:val="center"/>
      </w:pPr>
      <w:r>
        <w:rPr>
          <w:rFonts w:ascii="Arial" w:cs="Arial" w:eastAsia="Arial" w:hAnsi="Arial"/>
          <w:i/>
          <w:iCs/>
          <w:color w:val="5F5E5A"/>
          <w:sz w:val="24"/>
          <w:szCs w:val="24"/>
        </w:rPr>
        <w:t xml:space="preserve">UK Late Payment Recovery &amp; Statutory Rights Automation for SMEs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nil"/>
              <w:left w:val="nil"/>
              <w:bottom w:val="nil"/>
              <w:right w:val="nil"/>
            </w:tcBorders>
            <w:shd w:fill="1B3A6B" w:val="clear"/>
            <w:tcMar>
              <w:top w:type="dxa" w:w="100"/>
              <w:left w:type="dxa" w:w="140"/>
              <w:bottom w:type="dxa" w:w="100"/>
              <w:right w:type="dxa" w:w="140"/>
            </w:tcMar>
          </w:tcPr>
          <w:p>
            <w:pPr>
              <w:spacing w:after="0" w:before="0"/>
              <w:jc w:val="center"/>
            </w:pPr>
            <w:r>
              <w:rPr>
                <w:rFonts w:ascii="Arial" w:cs="Arial" w:eastAsia="Arial" w:hAnsi="Arial"/>
                <w:color w:val="D3D1C7"/>
                <w:sz w:val="18"/>
                <w:szCs w:val="18"/>
              </w:rPr>
              <w:t xml:space="preserve">Version</w:t>
            </w:r>
          </w:p>
          <w:p>
            <w:pPr>
              <w:spacing w:after="0" w:before="0"/>
              <w:jc w:val="center"/>
            </w:pPr>
            <w:r>
              <w:rPr>
                <w:rFonts w:ascii="Arial" w:cs="Arial" w:eastAsia="Arial" w:hAnsi="Arial"/>
                <w:b/>
                <w:bCs/>
                <w:color w:val="FFFFFF"/>
                <w:sz w:val="22"/>
                <w:szCs w:val="22"/>
              </w:rPr>
              <w:t xml:space="preserve">1.0 — April 2026</w:t>
            </w:r>
          </w:p>
        </w:tc>
        <w:tc>
          <w:tcPr>
            <w:tcW w:type="dxa" w:w="2000"/>
            <w:tcBorders>
              <w:top w:val="nil"/>
              <w:left w:val="nil"/>
              <w:bottom w:val="nil"/>
              <w:right w:val="nil"/>
            </w:tcBorders>
            <w:shd w:fill="0F6E56" w:val="clear"/>
            <w:tcMar>
              <w:top w:type="dxa" w:w="100"/>
              <w:left w:type="dxa" w:w="140"/>
              <w:bottom w:type="dxa" w:w="100"/>
              <w:right w:type="dxa" w:w="140"/>
            </w:tcMar>
          </w:tcPr>
          <w:p>
            <w:pPr>
              <w:spacing w:after="0" w:before="0"/>
              <w:jc w:val="center"/>
            </w:pPr>
            <w:r>
              <w:rPr>
                <w:rFonts w:ascii="Arial" w:cs="Arial" w:eastAsia="Arial" w:hAnsi="Arial"/>
                <w:color w:val="9FE1CB"/>
                <w:sz w:val="18"/>
                <w:szCs w:val="18"/>
              </w:rPr>
              <w:t xml:space="preserve">Team</w:t>
            </w:r>
          </w:p>
          <w:p>
            <w:pPr>
              <w:spacing w:after="0" w:before="0"/>
              <w:jc w:val="center"/>
            </w:pPr>
            <w:r>
              <w:rPr>
                <w:rFonts w:ascii="Arial" w:cs="Arial" w:eastAsia="Arial" w:hAnsi="Arial"/>
                <w:b/>
                <w:bCs/>
                <w:color w:val="FFFFFF"/>
                <w:sz w:val="20"/>
                <w:szCs w:val="20"/>
              </w:rPr>
              <w:t xml:space="preserve">Rafi · Mustakim · Shaafi</w:t>
            </w:r>
          </w:p>
        </w:tc>
        <w:tc>
          <w:tcPr>
            <w:tcW w:type="dxa" w:w="2000"/>
            <w:tcBorders>
              <w:top w:val="nil"/>
              <w:left w:val="nil"/>
              <w:bottom w:val="nil"/>
              <w:right w:val="nil"/>
            </w:tcBorders>
            <w:shd w:fill="185FA5" w:val="clear"/>
            <w:tcMar>
              <w:top w:type="dxa" w:w="100"/>
              <w:left w:type="dxa" w:w="140"/>
              <w:bottom w:type="dxa" w:w="100"/>
              <w:right w:type="dxa" w:w="140"/>
            </w:tcMar>
          </w:tcPr>
          <w:p>
            <w:pPr>
              <w:spacing w:after="0" w:before="0"/>
              <w:jc w:val="center"/>
            </w:pPr>
            <w:r>
              <w:rPr>
                <w:rFonts w:ascii="Arial" w:cs="Arial" w:eastAsia="Arial" w:hAnsi="Arial"/>
                <w:color w:val="B5D4F4"/>
                <w:sz w:val="18"/>
                <w:szCs w:val="18"/>
              </w:rPr>
              <w:t xml:space="preserve">Classification</w:t>
            </w:r>
          </w:p>
          <w:p>
            <w:pPr>
              <w:spacing w:after="0" w:before="0"/>
              <w:jc w:val="center"/>
            </w:pPr>
            <w:r>
              <w:rPr>
                <w:rFonts w:ascii="Arial" w:cs="Arial" w:eastAsia="Arial" w:hAnsi="Arial"/>
                <w:b/>
                <w:bCs/>
                <w:color w:val="FFFFFF"/>
                <w:sz w:val="20"/>
                <w:szCs w:val="20"/>
              </w:rPr>
              <w:t xml:space="preserve">Internal / Confidential</w:t>
            </w:r>
          </w:p>
        </w:tc>
      </w:tr>
    </w:tbl>
    <w:p>
      <w:pPr>
        <w:spacing w:after="0" w:before="500"/>
      </w:pPr>
    </w:p>
    <w:p>
      <w:pPr>
        <w:spacing w:after="0" w:before="0"/>
        <w:jc w:val="center"/>
      </w:pPr>
      <w:r>
        <w:rPr>
          <w:rFonts w:ascii="Arial" w:cs="Arial" w:eastAsia="Arial" w:hAnsi="Arial"/>
          <w:i/>
          <w:iCs/>
          <w:color w:val="5F5E5A"/>
          <w:sz w:val="18"/>
          <w:szCs w:val="18"/>
        </w:rPr>
        <w:t xml:space="preserve">Full analysis covering: market sizing, competitive landscape, product workflow, revenue model,</w:t>
      </w:r>
    </w:p>
    <w:p>
      <w:pPr>
        <w:spacing w:after="0" w:before="0"/>
        <w:jc w:val="center"/>
      </w:pPr>
      <w:r>
        <w:rPr>
          <w:rFonts w:ascii="Arial" w:cs="Arial" w:eastAsia="Arial" w:hAnsi="Arial"/>
          <w:i/>
          <w:iCs/>
          <w:color w:val="5F5E5A"/>
          <w:sz w:val="18"/>
          <w:szCs w:val="18"/>
        </w:rPr>
        <w:t xml:space="preserve">go-to-market strategy, technical architecture, legal requirements, and long-term roadmap.</w:t>
      </w:r>
    </w:p>
    <w:p>
      <w:r>
        <w:br/>
      </w:r>
    </w:p>
    <w:p>
      <w:pPr>
        <w:pStyle w:val="Heading1"/>
        <w:pBdr>
          <w:bottom w:val="single" w:color="0F6E56" w:sz="8" w:space="4"/>
        </w:pBdr>
        <w:spacing w:after="160" w:before="360"/>
      </w:pPr>
      <w:r>
        <w:rPr>
          <w:rFonts w:ascii="Arial" w:cs="Arial" w:eastAsia="Arial" w:hAnsi="Arial"/>
          <w:b/>
          <w:bCs/>
          <w:color w:val="1B3A6B"/>
          <w:sz w:val="36"/>
          <w:szCs w:val="36"/>
        </w:rPr>
        <w:t xml:space="preserve">1. Executive Summary</w:t>
      </w:r>
    </w:p>
    <w:p>
      <w:pPr>
        <w:spacing w:after="120" w:before="0"/>
      </w:pPr>
      <w:r>
        <w:rPr>
          <w:rFonts w:ascii="Arial" w:cs="Arial" w:eastAsia="Arial" w:hAnsi="Arial"/>
          <w:color w:val="1A1A1A"/>
          <w:sz w:val="22"/>
          <w:szCs w:val="22"/>
        </w:rPr>
        <w:t xml:space="preserve">PayForce is a UK SaaS product that automates the full late payment recovery process for UK SMEs — from the first polite reminder email through to statutory interest calculations and legally-worded Late Payment Act claim letters. It removes the two biggest barriers SMEs face when chasing overdue invoices: not knowing their legal rights, and not having time or confidence to enforce them.</w:t>
      </w:r>
    </w:p>
    <w:p>
      <w:pPr>
        <w:spacing w:after="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0F6E56" w:sz="16"/>
              <w:bottom w:val="nil"/>
              <w:right w:val="nil"/>
            </w:tcBorders>
            <w:shd w:fill="E1F5EE" w:val="clear"/>
            <w:tcMar>
              <w:top w:type="dxa" w:w="100"/>
              <w:left w:type="dxa" w:w="200"/>
              <w:bottom w:type="dxa" w:w="100"/>
              <w:right w:type="dxa" w:w="140"/>
            </w:tcMar>
          </w:tcPr>
          <w:p>
            <w:pPr>
              <w:spacing w:after="0" w:before="0"/>
            </w:pPr>
            <w:r>
              <w:rPr>
                <w:rFonts w:ascii="Arial" w:cs="Arial" w:eastAsia="Arial" w:hAnsi="Arial"/>
                <w:b/>
                <w:bCs/>
                <w:color w:val="1B3A6B"/>
                <w:sz w:val="22"/>
                <w:szCs w:val="22"/>
              </w:rPr>
              <w:t xml:space="preserve">The core insight: </w:t>
            </w:r>
            <w:r>
              <w:rPr>
                <w:rFonts w:ascii="Arial" w:cs="Arial" w:eastAsia="Arial" w:hAnsi="Arial"/>
                <w:color w:val="1B3A6B"/>
                <w:sz w:val="22"/>
                <w:szCs w:val="22"/>
              </w:rPr>
              <w:t xml:space="preserve">UK businesses can legally charge 8% + Bank of England base rate interest on overdue B2B invoices under the Late Payment of Commercial Debts (Interest) Act 1998. They can also claim a fixed compensation of £40–£100 per invoice. Most SMEs have no idea this right exists. PayForce automates the entire process — from reminder to legal claim — without needing a solicitor.</w:t>
            </w:r>
          </w:p>
        </w:tc>
      </w:tr>
    </w:tbl>
    <w:p>
      <w:pPr>
        <w:spacing w:after="0" w:before="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0F6E56"/>
          <w:sz w:val="28"/>
          <w:szCs w:val="28"/>
        </w:rPr>
        <w:t xml:space="preserve">Key facts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Dimension</w:t>
            </w:r>
          </w:p>
        </w:tc>
        <w:tc>
          <w:tcPr>
            <w:tcW w:type="dxa" w:w="636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Detail</w:t>
            </w:r>
          </w:p>
        </w:tc>
      </w:tr>
      <w:tr>
        <w:tc>
          <w:tcPr>
            <w:tcW w:type="dxa" w:w="30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Product type</w:t>
            </w:r>
          </w:p>
        </w:tc>
        <w:tc>
          <w:tcPr>
            <w:tcW w:type="dxa" w:w="63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B2B SaaS — late payment recovery automation</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Target market</w:t>
            </w:r>
          </w:p>
        </w:tc>
        <w:tc>
          <w:tcPr>
            <w:tcW w:type="dxa" w:w="63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UK SMEs with B2B invoicing: construction, recruitment, creative, professional services, IT freelancers</w:t>
            </w:r>
          </w:p>
        </w:tc>
      </w:tr>
      <w:tr>
        <w:tc>
          <w:tcPr>
            <w:tcW w:type="dxa" w:w="30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Primary problem</w:t>
            </w:r>
          </w:p>
        </w:tc>
        <w:tc>
          <w:tcPr>
            <w:tcW w:type="dxa" w:w="63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£55B in overdue B2B invoices across UK SMEs. Average SME has £38,000 outstanding at any time.</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Legal basis</w:t>
            </w:r>
          </w:p>
        </w:tc>
        <w:tc>
          <w:tcPr>
            <w:tcW w:type="dxa" w:w="63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Late Payment of Commercial Debts (Interest) Act 1998 — gives statutory right to charge 8%+ interest</w:t>
            </w:r>
          </w:p>
        </w:tc>
      </w:tr>
      <w:tr>
        <w:tc>
          <w:tcPr>
            <w:tcW w:type="dxa" w:w="30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Market size (Debt Collection SaaS)</w:t>
            </w:r>
          </w:p>
        </w:tc>
        <w:tc>
          <w:tcPr>
            <w:tcW w:type="dxa" w:w="63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$6.56B (2026) → $13.77B (2034) — growing at ~9.8% CAGR</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Reddit signal score</w:t>
            </w:r>
          </w:p>
        </w:tc>
        <w:tc>
          <w:tcPr>
            <w:tcW w:type="dxa" w:w="63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15/20 — Stable, evergreen signal on r/SmallBusinessUK weekly</w:t>
            </w:r>
          </w:p>
        </w:tc>
      </w:tr>
      <w:tr>
        <w:tc>
          <w:tcPr>
            <w:tcW w:type="dxa" w:w="30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Recommended pricing</w:t>
            </w:r>
          </w:p>
        </w:tc>
        <w:tc>
          <w:tcPr>
            <w:tcW w:type="dxa" w:w="63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£19–£79/mo subscription + 1–2% success fee on recovered amounts</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MVP build time</w:t>
            </w:r>
          </w:p>
        </w:tc>
        <w:tc>
          <w:tcPr>
            <w:tcW w:type="dxa" w:w="63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5–7 weeks — Rafi as primary engineer</w:t>
            </w:r>
          </w:p>
        </w:tc>
      </w:tr>
      <w:tr>
        <w:tc>
          <w:tcPr>
            <w:tcW w:type="dxa" w:w="30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Time to first revenue</w:t>
            </w:r>
          </w:p>
        </w:tc>
        <w:tc>
          <w:tcPr>
            <w:tcW w:type="dxa" w:w="63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3–4 months from build start</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Primary differentiator</w:t>
            </w:r>
          </w:p>
        </w:tc>
        <w:tc>
          <w:tcPr>
            <w:tcW w:type="dxa" w:w="63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Only affordable UK SME tool that combines automated reminders WITH statutory interest claims and legal letters</w:t>
            </w:r>
          </w:p>
        </w:tc>
      </w:tr>
      <w:tr>
        <w:tc>
          <w:tcPr>
            <w:tcW w:type="dxa" w:w="30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Regulatory requirement</w:t>
            </w:r>
          </w:p>
        </w:tc>
        <w:tc>
          <w:tcPr>
            <w:tcW w:type="dxa" w:w="63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ICO registration (£40–60/yr). No SRA licence needed. No FCA authorisation needed.</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Key first action</w:t>
            </w:r>
          </w:p>
        </w:tc>
        <w:tc>
          <w:tcPr>
            <w:tcW w:type="dxa" w:w="63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Build free Statutory Interest Calculator before writing any backend code</w:t>
            </w:r>
          </w:p>
        </w:tc>
      </w:tr>
    </w:tbl>
    <w:p>
      <w:r>
        <w:br/>
      </w:r>
    </w:p>
    <w:p>
      <w:pPr>
        <w:pStyle w:val="Heading1"/>
        <w:pBdr>
          <w:bottom w:val="single" w:color="0F6E56" w:sz="8" w:space="4"/>
        </w:pBdr>
        <w:spacing w:after="160" w:before="360"/>
      </w:pPr>
      <w:r>
        <w:rPr>
          <w:rFonts w:ascii="Arial" w:cs="Arial" w:eastAsia="Arial" w:hAnsi="Arial"/>
          <w:b/>
          <w:bCs/>
          <w:color w:val="1B3A6B"/>
          <w:sz w:val="36"/>
          <w:szCs w:val="36"/>
        </w:rPr>
        <w:t xml:space="preserve">2. The Problem PayForce Solves</w:t>
      </w:r>
    </w:p>
    <w:p>
      <w:pPr>
        <w:pStyle w:val="Heading2"/>
        <w:spacing w:after="120" w:before="240"/>
      </w:pPr>
      <w:r>
        <w:rPr>
          <w:rFonts w:ascii="Arial" w:cs="Arial" w:eastAsia="Arial" w:hAnsi="Arial"/>
          <w:b/>
          <w:bCs/>
          <w:color w:val="0F6E56"/>
          <w:sz w:val="28"/>
          <w:szCs w:val="28"/>
        </w:rPr>
        <w:t xml:space="preserve">2.1 The late payment crisis in UK SMEs</w:t>
      </w:r>
    </w:p>
    <w:p>
      <w:pPr>
        <w:spacing w:after="120" w:before="0"/>
      </w:pPr>
      <w:r>
        <w:rPr>
          <w:rFonts w:ascii="Arial" w:cs="Arial" w:eastAsia="Arial" w:hAnsi="Arial"/>
          <w:color w:val="1A1A1A"/>
          <w:sz w:val="22"/>
          <w:szCs w:val="22"/>
        </w:rPr>
        <w:t xml:space="preserve">Late payment is the single most persistent cash flow problem for UK small businesses, and it has been for decades. Unlike CompliDesk (which responds to law changes) or TariffNav (which responds to trade policy), PayForce addresses a structural, permanent feature of B2B commerce: large companies routinely pay small companies late.</w:t>
      </w:r>
    </w:p>
    <w:p>
      <w:pPr>
        <w:spacing w:after="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Statistic</w:t>
            </w:r>
          </w:p>
        </w:tc>
        <w:tc>
          <w:tcPr>
            <w:tcW w:type="dxa" w:w="656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Source / Detail</w:t>
            </w:r>
          </w:p>
        </w:tc>
      </w:tr>
      <w:tr>
        <w:tc>
          <w:tcPr>
            <w:tcW w:type="dxa" w:w="28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£55 billion</w:t>
            </w:r>
          </w:p>
        </w:tc>
        <w:tc>
          <w:tcPr>
            <w:tcW w:type="dxa" w:w="65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Total overdue B2B invoices owed to UK SMEs collectively (Chaser, 2025)</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£38,000</w:t>
            </w:r>
          </w:p>
        </w:tc>
        <w:tc>
          <w:tcPr>
            <w:tcW w:type="dxa" w:w="65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Average outstanding balance per UK SME at any given time</w:t>
            </w:r>
          </w:p>
        </w:tc>
      </w:tr>
      <w:tr>
        <w:tc>
          <w:tcPr>
            <w:tcW w:type="dxa" w:w="28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£2.4 billion</w:t>
            </w:r>
          </w:p>
        </w:tc>
        <w:tc>
          <w:tcPr>
            <w:tcW w:type="dxa" w:w="65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Annual cost to UK businesses in mental health impacts from late payment stress (Equisettle, 2026)</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400,000</w:t>
            </w:r>
          </w:p>
        </w:tc>
        <w:tc>
          <w:tcPr>
            <w:tcW w:type="dxa" w:w="65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UK businesses at risk of insolvency directly due to late payments (FSB warning)</w:t>
            </w:r>
          </w:p>
        </w:tc>
      </w:tr>
      <w:tr>
        <w:tc>
          <w:tcPr>
            <w:tcW w:type="dxa" w:w="28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30%</w:t>
            </w:r>
          </w:p>
        </w:tc>
        <w:tc>
          <w:tcPr>
            <w:tcW w:type="dxa" w:w="65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UK SMEs who list maintaining consistent cash flow as their biggest challenge</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26%</w:t>
            </w:r>
          </w:p>
        </w:tc>
        <w:tc>
          <w:tcPr>
            <w:tcW w:type="dxa" w:w="65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UK businesses who paid their own suppliers late because they had not been paid themselves</w:t>
            </w:r>
          </w:p>
        </w:tc>
      </w:tr>
      <w:tr>
        <w:tc>
          <w:tcPr>
            <w:tcW w:type="dxa" w:w="28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13%</w:t>
            </w:r>
          </w:p>
        </w:tc>
        <w:tc>
          <w:tcPr>
            <w:tcW w:type="dxa" w:w="65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SMEs and freelancers who had to write off bad debt entirely — money permanently lost</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20%</w:t>
            </w:r>
          </w:p>
        </w:tc>
        <w:tc>
          <w:tcPr>
            <w:tcW w:type="dxa" w:w="65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Proportion of invoices that are not resolved by polite email reminders — legal escalation needed</w:t>
            </w:r>
          </w:p>
        </w:tc>
      </w:tr>
    </w:tbl>
    <w:p>
      <w:pPr>
        <w:spacing w:after="0" w:before="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0F6E56"/>
          <w:sz w:val="28"/>
          <w:szCs w:val="28"/>
        </w:rPr>
        <w:t xml:space="preserve">2.2 Why existing behaviour does not work</w:t>
      </w:r>
    </w:p>
    <w:p>
      <w:pPr>
        <w:spacing w:after="120" w:before="0"/>
      </w:pPr>
      <w:r>
        <w:rPr>
          <w:rFonts w:ascii="Arial" w:cs="Arial" w:eastAsia="Arial" w:hAnsi="Arial"/>
          <w:color w:val="1A1A1A"/>
          <w:sz w:val="22"/>
          <w:szCs w:val="22"/>
        </w:rPr>
        <w:t xml:space="preserve">When an SME owner faces an unpaid invoice, they typically follow this pattern: send a polite email, wait, send another email, wait, feel awkward, write off the debt. This cycle repeats for three reasons:</w:t>
      </w:r>
    </w:p>
    <w:p>
      <w:pPr>
        <w:spacing w:after="0" w:before="0"/>
      </w:pPr>
      <w:r>
        <w:rPr>
          <w:rFonts w:ascii="Arial" w:cs="Arial" w:eastAsia="Arial" w:hAnsi="Arial"/>
          <w:color w:val="1A1A1A"/>
          <w:sz w:val="22"/>
          <w:szCs w:val="22"/>
        </w:rPr>
        <w:t xml:space="preserve"/>
      </w:r>
    </w:p>
    <w:p>
      <w:pPr>
        <w:pStyle w:val="ListParagraph"/>
        <w:numPr>
          <w:ilvl w:val="0"/>
          <w:numId w:val="2"/>
        </w:numPr>
        <w:spacing w:after="80" w:before="0"/>
      </w:pPr>
      <w:r>
        <w:rPr>
          <w:rFonts w:ascii="Arial" w:cs="Arial" w:eastAsia="Arial" w:hAnsi="Arial"/>
          <w:b/>
          <w:bCs/>
          <w:color w:val="1A1A1A"/>
          <w:sz w:val="22"/>
          <w:szCs w:val="22"/>
        </w:rPr>
        <w:t xml:space="preserve">Ignorance of legal rights: </w:t>
      </w:r>
      <w:r>
        <w:rPr>
          <w:rFonts w:ascii="Arial" w:cs="Arial" w:eastAsia="Arial" w:hAnsi="Arial"/>
          <w:color w:val="1A1A1A"/>
          <w:sz w:val="22"/>
          <w:szCs w:val="22"/>
        </w:rPr>
        <w:t xml:space="preserve">Most SME owners do not know they can legally charge 8%+ annual interest from the day after the due date, or claim a fixed statutory compensation of £40-£100 per overdue invoice under the Late Payment of Commercial Debts Act 1998.</w:t>
      </w:r>
    </w:p>
    <w:p>
      <w:pPr>
        <w:pStyle w:val="ListParagraph"/>
        <w:numPr>
          <w:ilvl w:val="0"/>
          <w:numId w:val="2"/>
        </w:numPr>
        <w:spacing w:after="80" w:before="0"/>
      </w:pPr>
      <w:r>
        <w:rPr>
          <w:rFonts w:ascii="Arial" w:cs="Arial" w:eastAsia="Arial" w:hAnsi="Arial"/>
          <w:b/>
          <w:bCs/>
          <w:color w:val="1A1A1A"/>
          <w:sz w:val="22"/>
          <w:szCs w:val="22"/>
        </w:rPr>
        <w:t xml:space="preserve">Fear of relationship damage: </w:t>
      </w:r>
      <w:r>
        <w:rPr>
          <w:rFonts w:ascii="Arial" w:cs="Arial" w:eastAsia="Arial" w:hAnsi="Arial"/>
          <w:color w:val="1A1A1A"/>
          <w:sz w:val="22"/>
          <w:szCs w:val="22"/>
        </w:rPr>
        <w:t xml:space="preserve">Business owners fear that formal demand letters will destroy client relationships they have worked hard to build. They prefer to absorb the loss.</w:t>
      </w:r>
    </w:p>
    <w:p>
      <w:pPr>
        <w:pStyle w:val="ListParagraph"/>
        <w:numPr>
          <w:ilvl w:val="0"/>
          <w:numId w:val="2"/>
        </w:numPr>
        <w:spacing w:after="80" w:before="0"/>
      </w:pPr>
      <w:r>
        <w:rPr>
          <w:rFonts w:ascii="Arial" w:cs="Arial" w:eastAsia="Arial" w:hAnsi="Arial"/>
          <w:b/>
          <w:bCs/>
          <w:color w:val="1A1A1A"/>
          <w:sz w:val="22"/>
          <w:szCs w:val="22"/>
        </w:rPr>
        <w:t xml:space="preserve">No time or expertise: </w:t>
      </w:r>
      <w:r>
        <w:rPr>
          <w:rFonts w:ascii="Arial" w:cs="Arial" w:eastAsia="Arial" w:hAnsi="Arial"/>
          <w:color w:val="1A1A1A"/>
          <w:sz w:val="22"/>
          <w:szCs w:val="22"/>
        </w:rPr>
        <w:t xml:space="preserve">Writing legally-worded escalation letters requires knowledge of the statutory framework. Most SME owners are running a business, not practising law.</w:t>
      </w:r>
    </w:p>
    <w:p>
      <w:pPr>
        <w:spacing w:after="0" w:before="0"/>
      </w:pPr>
      <w:r>
        <w:rPr>
          <w:rFonts w:ascii="Arial" w:cs="Arial" w:eastAsia="Arial" w:hAnsi="Arial"/>
          <w:color w:val="1A1A1A"/>
          <w:sz w:val="22"/>
          <w:szCs w:val="22"/>
        </w:rPr>
        <w:t xml:space="preserve"/>
      </w:r>
    </w:p>
    <w:p>
      <w:pPr>
        <w:spacing w:after="120" w:before="0"/>
      </w:pPr>
      <w:r>
        <w:rPr>
          <w:rFonts w:ascii="Arial" w:cs="Arial" w:eastAsia="Arial" w:hAnsi="Arial"/>
          <w:color w:val="1A1A1A"/>
          <w:sz w:val="22"/>
          <w:szCs w:val="22"/>
        </w:rPr>
        <w:t xml:space="preserve">PayForce removes all three barriers. It automates the process, provides legally-correct template letters, and presents the escalation in a professional, relationship-preserving format.</w:t>
      </w:r>
    </w:p>
    <w:p>
      <w:r>
        <w:br/>
      </w:r>
    </w:p>
    <w:p>
      <w:pPr>
        <w:pStyle w:val="Heading1"/>
        <w:pBdr>
          <w:bottom w:val="single" w:color="0F6E56" w:sz="8" w:space="4"/>
        </w:pBdr>
        <w:spacing w:after="160" w:before="360"/>
      </w:pPr>
      <w:r>
        <w:rPr>
          <w:rFonts w:ascii="Arial" w:cs="Arial" w:eastAsia="Arial" w:hAnsi="Arial"/>
          <w:b/>
          <w:bCs/>
          <w:color w:val="1B3A6B"/>
          <w:sz w:val="36"/>
          <w:szCs w:val="36"/>
        </w:rPr>
        <w:t xml:space="preserve">3. Market Analysis</w:t>
      </w:r>
    </w:p>
    <w:p>
      <w:pPr>
        <w:pStyle w:val="Heading2"/>
        <w:spacing w:after="120" w:before="240"/>
      </w:pPr>
      <w:r>
        <w:rPr>
          <w:rFonts w:ascii="Arial" w:cs="Arial" w:eastAsia="Arial" w:hAnsi="Arial"/>
          <w:b/>
          <w:bCs/>
          <w:color w:val="0F6E56"/>
          <w:sz w:val="28"/>
          <w:szCs w:val="28"/>
        </w:rPr>
        <w:t xml:space="preserve">3.1 Market size and growth trajectory</w:t>
      </w:r>
    </w:p>
    <w:p>
      <w:pPr>
        <w:spacing w:after="120" w:before="0"/>
      </w:pPr>
      <w:r>
        <w:rPr>
          <w:rFonts w:ascii="Arial" w:cs="Arial" w:eastAsia="Arial" w:hAnsi="Arial"/>
          <w:color w:val="1A1A1A"/>
          <w:sz w:val="22"/>
          <w:szCs w:val="22"/>
        </w:rPr>
        <w:t xml:space="preserve">The Debt Collection Software market was valued at $6.56 billion in 2026 and is projected to reach $13.77 billion by 2034, driven by demand for automation, self-service payment solutions, and compliance-first platforms. This is one of the few SaaS verticals where growth is structurally guaranteed — it does not depend on regulatory cycles, algorithm changes, or geopolitical events.</w:t>
      </w:r>
    </w:p>
    <w:p>
      <w:pPr>
        <w:spacing w:after="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Market segment</w:t>
            </w:r>
          </w:p>
        </w:tc>
        <w:tc>
          <w:tcPr>
            <w:tcW w:type="dxa" w:w="556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Size / Detail</w:t>
            </w:r>
          </w:p>
        </w:tc>
      </w:tr>
      <w:tr>
        <w:tc>
          <w:tcPr>
            <w:tcW w:type="dxa" w:w="38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Global Debt Collection Software market (2026)</w:t>
            </w:r>
          </w:p>
        </w:tc>
        <w:tc>
          <w:tcPr>
            <w:tcW w:type="dxa" w:w="55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$6.56 billion</w:t>
            </w:r>
          </w:p>
        </w:tc>
      </w:tr>
      <w:tr>
        <w:tc>
          <w:tcPr>
            <w:tcW w:type="dxa" w:w="3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Global Debt Collection Software market (2034)</w:t>
            </w:r>
          </w:p>
        </w:tc>
        <w:tc>
          <w:tcPr>
            <w:tcW w:type="dxa" w:w="55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$13.77 billion — CAGR ~9.8%</w:t>
            </w:r>
          </w:p>
        </w:tc>
      </w:tr>
      <w:tr>
        <w:tc>
          <w:tcPr>
            <w:tcW w:type="dxa" w:w="38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UK SMEs with employees (total addressable market)</w:t>
            </w:r>
          </w:p>
        </w:tc>
        <w:tc>
          <w:tcPr>
            <w:tcW w:type="dxa" w:w="55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~1.4 million businesses</w:t>
            </w:r>
          </w:p>
        </w:tc>
      </w:tr>
      <w:tr>
        <w:tc>
          <w:tcPr>
            <w:tcW w:type="dxa" w:w="3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UK SMEs affected by late payment</w:t>
            </w:r>
          </w:p>
        </w:tc>
        <w:tc>
          <w:tcPr>
            <w:tcW w:type="dxa" w:w="55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~420,000 (30% of businesses with employees)</w:t>
            </w:r>
          </w:p>
        </w:tc>
      </w:tr>
      <w:tr>
        <w:tc>
          <w:tcPr>
            <w:tcW w:type="dxa" w:w="38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SMEs currently using AR automation software</w:t>
            </w:r>
          </w:p>
        </w:tc>
        <w:tc>
          <w:tcPr>
            <w:tcW w:type="dxa" w:w="55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~50,000 (Chaser has 10,000+ users globally; UK share ~40%)</w:t>
            </w:r>
          </w:p>
        </w:tc>
      </w:tr>
      <w:tr>
        <w:tc>
          <w:tcPr>
            <w:tcW w:type="dxa" w:w="3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Unserved SMEs — no AR automation tool at all</w:t>
            </w:r>
          </w:p>
        </w:tc>
        <w:tc>
          <w:tcPr>
            <w:tcW w:type="dxa" w:w="55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~370,000 UK businesses in the addressable segment</w:t>
            </w:r>
          </w:p>
        </w:tc>
      </w:tr>
      <w:tr>
        <w:tc>
          <w:tcPr>
            <w:tcW w:type="dxa" w:w="38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PayForce Year 1 target (0.13% penetration)</w:t>
            </w:r>
          </w:p>
        </w:tc>
        <w:tc>
          <w:tcPr>
            <w:tcW w:type="dxa" w:w="55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500 paying clients</w:t>
            </w:r>
          </w:p>
        </w:tc>
      </w:tr>
      <w:tr>
        <w:tc>
          <w:tcPr>
            <w:tcW w:type="dxa" w:w="3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PayForce Year 3 target (1% penetration)</w:t>
            </w:r>
          </w:p>
        </w:tc>
        <w:tc>
          <w:tcPr>
            <w:tcW w:type="dxa" w:w="55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4,000 paying clients</w:t>
            </w:r>
          </w:p>
        </w:tc>
      </w:tr>
    </w:tbl>
    <w:p>
      <w:pPr>
        <w:spacing w:after="0" w:before="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0F6E56"/>
          <w:sz w:val="28"/>
          <w:szCs w:val="28"/>
        </w:rPr>
        <w:t xml:space="preserve">3.2 Why now — four factors converging in 2026</w:t>
      </w:r>
    </w:p>
    <w:p>
      <w:pPr>
        <w:pStyle w:val="ListParagraph"/>
        <w:numPr>
          <w:ilvl w:val="0"/>
          <w:numId w:val="2"/>
        </w:numPr>
        <w:spacing w:after="80" w:before="0"/>
      </w:pPr>
      <w:r>
        <w:rPr>
          <w:rFonts w:ascii="Arial" w:cs="Arial" w:eastAsia="Arial" w:hAnsi="Arial"/>
          <w:b/>
          <w:bCs/>
          <w:color w:val="1A1A1A"/>
          <w:sz w:val="22"/>
          <w:szCs w:val="22"/>
        </w:rPr>
        <w:t xml:space="preserve">NI employer contributions increased from April 2026: </w:t>
      </w:r>
      <w:r>
        <w:rPr>
          <w:rFonts w:ascii="Arial" w:cs="Arial" w:eastAsia="Arial" w:hAnsi="Arial"/>
          <w:color w:val="1A1A1A"/>
          <w:sz w:val="22"/>
          <w:szCs w:val="22"/>
        </w:rPr>
        <w:t xml:space="preserve">Every UK employer now pays more National Insurance per employee. This squeezes SME cash flow further, making unpaid invoices more damaging and recovery more urgent.</w:t>
      </w:r>
    </w:p>
    <w:p>
      <w:pPr>
        <w:pStyle w:val="ListParagraph"/>
        <w:numPr>
          <w:ilvl w:val="0"/>
          <w:numId w:val="2"/>
        </w:numPr>
        <w:spacing w:after="80" w:before="0"/>
      </w:pPr>
      <w:r>
        <w:rPr>
          <w:rFonts w:ascii="Arial" w:cs="Arial" w:eastAsia="Arial" w:hAnsi="Arial"/>
          <w:b/>
          <w:bCs/>
          <w:color w:val="1A1A1A"/>
          <w:sz w:val="22"/>
          <w:szCs w:val="22"/>
        </w:rPr>
        <w:t xml:space="preserve">Government payment terms tightening: </w:t>
      </w:r>
      <w:r>
        <w:rPr>
          <w:rFonts w:ascii="Arial" w:cs="Arial" w:eastAsia="Arial" w:hAnsi="Arial"/>
          <w:color w:val="1A1A1A"/>
          <w:sz w:val="22"/>
          <w:szCs w:val="22"/>
        </w:rPr>
        <w:t xml:space="preserve">Maximum payment terms reducing from 60 to 45 days in 2026. Large companies must publicly disclose payment practices. Small Business Commissioner gaining enforcement powers. PayForce aligns with this enforcement wave.</w:t>
      </w:r>
    </w:p>
    <w:p>
      <w:pPr>
        <w:pStyle w:val="ListParagraph"/>
        <w:numPr>
          <w:ilvl w:val="0"/>
          <w:numId w:val="2"/>
        </w:numPr>
        <w:spacing w:after="80" w:before="0"/>
      </w:pPr>
      <w:r>
        <w:rPr>
          <w:rFonts w:ascii="Arial" w:cs="Arial" w:eastAsia="Arial" w:hAnsi="Arial"/>
          <w:b/>
          <w:bCs/>
          <w:color w:val="1A1A1A"/>
          <w:sz w:val="22"/>
          <w:szCs w:val="22"/>
        </w:rPr>
        <w:t xml:space="preserve">r/SmallBusinessUK — weekly recurring signal: </w:t>
      </w:r>
      <w:r>
        <w:rPr>
          <w:rFonts w:ascii="Arial" w:cs="Arial" w:eastAsia="Arial" w:hAnsi="Arial"/>
          <w:color w:val="1A1A1A"/>
          <w:sz w:val="22"/>
          <w:szCs w:val="22"/>
        </w:rPr>
        <w:t xml:space="preserve">Late payment threads appear every single week. "My client owes me £15,000 for 3 months. What do I do?" This is not a trending topic — it is a permanent, structural pain that generates fresh demand weekly.</w:t>
      </w:r>
    </w:p>
    <w:p>
      <w:pPr>
        <w:pStyle w:val="ListParagraph"/>
        <w:numPr>
          <w:ilvl w:val="0"/>
          <w:numId w:val="2"/>
        </w:numPr>
        <w:spacing w:after="80" w:before="0"/>
      </w:pPr>
      <w:r>
        <w:rPr>
          <w:rFonts w:ascii="Arial" w:cs="Arial" w:eastAsia="Arial" w:hAnsi="Arial"/>
          <w:b/>
          <w:bCs/>
          <w:color w:val="1A1A1A"/>
          <w:sz w:val="22"/>
          <w:szCs w:val="22"/>
        </w:rPr>
        <w:t xml:space="preserve">Post-pandemic B2B credit tightening: </w:t>
      </w:r>
      <w:r>
        <w:rPr>
          <w:rFonts w:ascii="Arial" w:cs="Arial" w:eastAsia="Arial" w:hAnsi="Arial"/>
          <w:color w:val="1A1A1A"/>
          <w:sz w:val="22"/>
          <w:szCs w:val="22"/>
        </w:rPr>
        <w:t xml:space="preserve">More businesses are invoicing on terms rather than upfront. The volume of B2B credit transactions is growing, and with it, the volume of late payment disputes.</w:t>
      </w:r>
    </w:p>
    <w:p>
      <w:r>
        <w:br/>
      </w:r>
    </w:p>
    <w:p>
      <w:pPr>
        <w:pStyle w:val="Heading1"/>
        <w:pBdr>
          <w:bottom w:val="single" w:color="0F6E56" w:sz="8" w:space="4"/>
        </w:pBdr>
        <w:spacing w:after="160" w:before="360"/>
      </w:pPr>
      <w:r>
        <w:rPr>
          <w:rFonts w:ascii="Arial" w:cs="Arial" w:eastAsia="Arial" w:hAnsi="Arial"/>
          <w:b/>
          <w:bCs/>
          <w:color w:val="1B3A6B"/>
          <w:sz w:val="36"/>
          <w:szCs w:val="36"/>
        </w:rPr>
        <w:t xml:space="preserve">4. Competitive Analysis</w:t>
      </w:r>
    </w:p>
    <w:p>
      <w:pPr>
        <w:pStyle w:val="Heading2"/>
        <w:spacing w:after="120" w:before="240"/>
      </w:pPr>
      <w:r>
        <w:rPr>
          <w:rFonts w:ascii="Arial" w:cs="Arial" w:eastAsia="Arial" w:hAnsi="Arial"/>
          <w:b/>
          <w:bCs/>
          <w:color w:val="0F6E56"/>
          <w:sz w:val="28"/>
          <w:szCs w:val="28"/>
        </w:rPr>
        <w:t xml:space="preserve">4.1 Competitor landscape</w:t>
      </w:r>
    </w:p>
    <w:p>
      <w:pPr>
        <w:spacing w:after="120" w:before="0"/>
      </w:pPr>
      <w:r>
        <w:rPr>
          <w:rFonts w:ascii="Arial" w:cs="Arial" w:eastAsia="Arial" w:hAnsi="Arial"/>
          <w:color w:val="1A1A1A"/>
          <w:sz w:val="22"/>
          <w:szCs w:val="22"/>
        </w:rPr>
        <w:t xml:space="preserve">The UK AR automation market has four main players. None of them occupy the specific position PayForce targets: affordable statutory rights enforcement with a success fee model.</w:t>
      </w:r>
    </w:p>
    <w:p>
      <w:pPr>
        <w:spacing w:after="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300"/>
        <w:gridCol w:w="1600"/>
        <w:gridCol w:w="2460"/>
      </w:tblGrid>
      <w:tr>
        <w:trPr>
          <w:tblHeader/>
        </w:trPr>
        <w:tc>
          <w:tcPr>
            <w:tcW w:type="dxa" w:w="16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Competitor</w:t>
            </w:r>
          </w:p>
        </w:tc>
        <w:tc>
          <w:tcPr>
            <w:tcW w:type="dxa" w:w="24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Model</w:t>
            </w:r>
          </w:p>
        </w:tc>
        <w:tc>
          <w:tcPr>
            <w:tcW w:type="dxa" w:w="13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Price</w:t>
            </w:r>
          </w:p>
        </w:tc>
        <w:tc>
          <w:tcPr>
            <w:tcW w:type="dxa" w:w="16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Users</w:t>
            </w:r>
          </w:p>
        </w:tc>
        <w:tc>
          <w:tcPr>
            <w:tcW w:type="dxa" w:w="246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Critical weakness</w:t>
            </w:r>
          </w:p>
        </w:tc>
      </w:tr>
      <w:tr>
        <w:tc>
          <w:tcPr>
            <w:tcW w:type="dxa" w:w="1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Chaser</w:t>
            </w:r>
          </w:p>
        </w:tc>
        <w:tc>
          <w:tcPr>
            <w:tcW w:type="dxa" w:w="2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Automated reminder emails/SMS/calls. AI chasing time optimisation. Xero integration.</w:t>
            </w:r>
          </w:p>
        </w:tc>
        <w:tc>
          <w:tcPr>
            <w:tcW w:type="dxa" w:w="13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£0–£150/mo</w:t>
            </w:r>
          </w:p>
        </w:tc>
        <w:tc>
          <w:tcPr>
            <w:tcW w:type="dxa" w:w="1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10,000+ worldwide</w:t>
            </w:r>
          </w:p>
        </w:tc>
        <w:tc>
          <w:tcPr>
            <w:tcW w:type="dxa" w:w="24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Polite emails only — no legal escalation, no statutory interest calculation, no success fee model</w:t>
            </w:r>
          </w:p>
        </w:tc>
      </w:tr>
      <w:tr>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Satago</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Credit risk checking + automated reminders + invoice financing upsell.</w:t>
            </w:r>
          </w:p>
        </w:tc>
        <w:tc>
          <w:tcPr>
            <w:tcW w:type="dxa" w:w="13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Free–£150/mo</w:t>
            </w:r>
          </w:p>
        </w:tc>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Smaller than Chaser</w:t>
            </w:r>
          </w:p>
        </w:tc>
        <w:tc>
          <w:tcPr>
            <w:tcW w:type="dxa" w:w="24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Invoice financing is the real product — AR automation is secondary. Painful outside Xero.</w:t>
            </w:r>
          </w:p>
        </w:tc>
      </w:tr>
      <w:tr>
        <w:tc>
          <w:tcPr>
            <w:tcW w:type="dxa" w:w="1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Equisettle</w:t>
            </w:r>
          </w:p>
        </w:tc>
        <w:tc>
          <w:tcPr>
            <w:tcW w:type="dxa" w:w="2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AI-powered late payment prediction. Intervenes before due date.</w:t>
            </w:r>
          </w:p>
        </w:tc>
        <w:tc>
          <w:tcPr>
            <w:tcW w:type="dxa" w:w="13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£75–£350/mo</w:t>
            </w:r>
          </w:p>
        </w:tc>
        <w:tc>
          <w:tcPr>
            <w:tcW w:type="dxa" w:w="1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Newer platform (founded 2024)</w:t>
            </w:r>
          </w:p>
        </w:tc>
        <w:tc>
          <w:tcPr>
            <w:tcW w:type="dxa" w:w="24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Expensive for SMEs. No legal letter generation. Prediction-only, not enforcement.</w:t>
            </w:r>
          </w:p>
        </w:tc>
      </w:tr>
      <w:tr>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Fluidly</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Cash flow forecasting + debtor traffic light system + invoice financing.</w:t>
            </w:r>
          </w:p>
        </w:tc>
        <w:tc>
          <w:tcPr>
            <w:tcW w:type="dxa" w:w="13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Custom pricing</w:t>
            </w:r>
          </w:p>
        </w:tc>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Mid-market focus</w:t>
            </w:r>
          </w:p>
        </w:tc>
        <w:tc>
          <w:tcPr>
            <w:tcW w:type="dxa" w:w="24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Primarily a forecasting tool — recovery automation is not its core identity.</w:t>
            </w:r>
          </w:p>
        </w:tc>
      </w:tr>
      <w:tr>
        <w:tc>
          <w:tcPr>
            <w:tcW w:type="dxa" w:w="1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Kolleno</w:t>
            </w:r>
          </w:p>
        </w:tc>
        <w:tc>
          <w:tcPr>
            <w:tcW w:type="dxa" w:w="2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Mid-to-large business AR automation. Complex enterprise workflows.</w:t>
            </w:r>
          </w:p>
        </w:tc>
        <w:tc>
          <w:tcPr>
            <w:tcW w:type="dxa" w:w="13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Enterprise pricing</w:t>
            </w:r>
          </w:p>
        </w:tc>
        <w:tc>
          <w:tcPr>
            <w:tcW w:type="dxa" w:w="1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Mid-market</w:t>
            </w:r>
          </w:p>
        </w:tc>
        <w:tc>
          <w:tcPr>
            <w:tcW w:type="dxa" w:w="24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Too expensive and complex for the 1–50 employee SME PayForce targets.</w:t>
            </w:r>
          </w:p>
        </w:tc>
      </w:tr>
      <w:tr>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PayForce</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Reminder automation + statutory interest engine + legal claim letters + success fee model.</w:t>
            </w:r>
          </w:p>
        </w:tc>
        <w:tc>
          <w:tcPr>
            <w:tcW w:type="dxa" w:w="13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£19–£79/mo + 1–2% success fee</w:t>
            </w:r>
          </w:p>
        </w:tc>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New entrant</w:t>
            </w:r>
          </w:p>
        </w:tc>
        <w:tc>
          <w:tcPr>
            <w:tcW w:type="dxa" w:w="24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No brand trust yet. No track record. Xero marketplace approval needed.</w:t>
            </w:r>
          </w:p>
        </w:tc>
      </w:tr>
    </w:tbl>
    <w:p>
      <w:pPr>
        <w:spacing w:after="0" w:before="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0F6E56"/>
          <w:sz w:val="28"/>
          <w:szCs w:val="28"/>
        </w:rPr>
        <w:t xml:space="preserve">4.2 Feature comparison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700"/>
        <w:gridCol w:w="1132"/>
        <w:gridCol w:w="1132"/>
        <w:gridCol w:w="1132"/>
        <w:gridCol w:w="1132"/>
        <w:gridCol w:w="1132"/>
      </w:tblGrid>
      <w:tr>
        <w:trPr>
          <w:tblHeader/>
        </w:trPr>
        <w:tc>
          <w:tcPr>
            <w:tcW w:type="dxa" w:w="27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Feature</w:t>
            </w:r>
          </w:p>
        </w:tc>
        <w:tc>
          <w:tcPr>
            <w:tcW w:type="dxa" w:w="1132"/>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Chaser</w:t>
            </w:r>
          </w:p>
        </w:tc>
        <w:tc>
          <w:tcPr>
            <w:tcW w:type="dxa" w:w="1132"/>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Satago</w:t>
            </w:r>
          </w:p>
        </w:tc>
        <w:tc>
          <w:tcPr>
            <w:tcW w:type="dxa" w:w="1132"/>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Equisettle</w:t>
            </w:r>
          </w:p>
        </w:tc>
        <w:tc>
          <w:tcPr>
            <w:tcW w:type="dxa" w:w="1132"/>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Fluidly</w:t>
            </w:r>
          </w:p>
        </w:tc>
        <w:tc>
          <w:tcPr>
            <w:tcW w:type="dxa" w:w="1132"/>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PayForce</w:t>
            </w:r>
          </w:p>
        </w:tc>
      </w:tr>
      <w:tr>
        <w:tc>
          <w:tcPr>
            <w:tcW w:type="dxa" w:w="2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Automated reminder emails</w:t>
            </w:r>
          </w:p>
        </w:tc>
        <w:tc>
          <w:tcPr>
            <w:tcW w:type="dxa" w:w="1132"/>
            <w:tcBorders>
              <w:top w:val="single" w:color="D3D1C7" w:sz="4"/>
              <w:left w:val="single" w:color="D3D1C7" w:sz="4"/>
              <w:bottom w:val="single" w:color="D3D1C7" w:sz="4"/>
              <w:right w:val="single" w:color="D3D1C7" w:sz="4"/>
            </w:tcBorders>
            <w:shd w:fill="E1F5EE" w:val="clear"/>
            <w:tcMar>
              <w:top w:type="dxa" w:w="80"/>
              <w:left w:type="dxa" w:w="140"/>
              <w:bottom w:type="dxa" w:w="80"/>
              <w:right w:type="dxa" w:w="140"/>
            </w:tcMar>
          </w:tcPr>
          <w:p>
            <w:pPr>
              <w:spacing w:after="0" w:before="0"/>
            </w:pPr>
            <w:r>
              <w:rPr>
                <w:rFonts w:ascii="Arial" w:cs="Arial" w:eastAsia="Arial" w:hAnsi="Arial"/>
                <w:b w:val="false"/>
                <w:bCs w:val="false"/>
                <w:color w:val="0F6E56"/>
                <w:sz w:val="20"/>
                <w:szCs w:val="20"/>
              </w:rPr>
              <w:t xml:space="preserve">YES</w:t>
            </w:r>
          </w:p>
        </w:tc>
        <w:tc>
          <w:tcPr>
            <w:tcW w:type="dxa" w:w="1132"/>
            <w:tcBorders>
              <w:top w:val="single" w:color="D3D1C7" w:sz="4"/>
              <w:left w:val="single" w:color="D3D1C7" w:sz="4"/>
              <w:bottom w:val="single" w:color="D3D1C7" w:sz="4"/>
              <w:right w:val="single" w:color="D3D1C7" w:sz="4"/>
            </w:tcBorders>
            <w:shd w:fill="E1F5EE" w:val="clear"/>
            <w:tcMar>
              <w:top w:type="dxa" w:w="80"/>
              <w:left w:type="dxa" w:w="140"/>
              <w:bottom w:type="dxa" w:w="80"/>
              <w:right w:type="dxa" w:w="140"/>
            </w:tcMar>
          </w:tcPr>
          <w:p>
            <w:pPr>
              <w:spacing w:after="0" w:before="0"/>
            </w:pPr>
            <w:r>
              <w:rPr>
                <w:rFonts w:ascii="Arial" w:cs="Arial" w:eastAsia="Arial" w:hAnsi="Arial"/>
                <w:b w:val="false"/>
                <w:bCs w:val="false"/>
                <w:color w:val="0F6E56"/>
                <w:sz w:val="20"/>
                <w:szCs w:val="20"/>
              </w:rPr>
              <w:t xml:space="preserve">YES</w:t>
            </w:r>
          </w:p>
        </w:tc>
        <w:tc>
          <w:tcPr>
            <w:tcW w:type="dxa" w:w="1132"/>
            <w:tcBorders>
              <w:top w:val="single" w:color="D3D1C7" w:sz="4"/>
              <w:left w:val="single" w:color="D3D1C7" w:sz="4"/>
              <w:bottom w:val="single" w:color="D3D1C7" w:sz="4"/>
              <w:right w:val="single" w:color="D3D1C7" w:sz="4"/>
            </w:tcBorders>
            <w:shd w:fill="E1F5EE" w:val="clear"/>
            <w:tcMar>
              <w:top w:type="dxa" w:w="80"/>
              <w:left w:type="dxa" w:w="140"/>
              <w:bottom w:type="dxa" w:w="80"/>
              <w:right w:type="dxa" w:w="140"/>
            </w:tcMar>
          </w:tcPr>
          <w:p>
            <w:pPr>
              <w:spacing w:after="0" w:before="0"/>
            </w:pPr>
            <w:r>
              <w:rPr>
                <w:rFonts w:ascii="Arial" w:cs="Arial" w:eastAsia="Arial" w:hAnsi="Arial"/>
                <w:b w:val="false"/>
                <w:bCs w:val="false"/>
                <w:color w:val="0F6E56"/>
                <w:sz w:val="20"/>
                <w:szCs w:val="20"/>
              </w:rPr>
              <w:t xml:space="preserve">YES</w:t>
            </w:r>
          </w:p>
        </w:tc>
        <w:tc>
          <w:tcPr>
            <w:tcW w:type="dxa" w:w="1132"/>
            <w:tcBorders>
              <w:top w:val="single" w:color="D3D1C7" w:sz="4"/>
              <w:left w:val="single" w:color="D3D1C7" w:sz="4"/>
              <w:bottom w:val="single" w:color="D3D1C7" w:sz="4"/>
              <w:right w:val="single" w:color="D3D1C7" w:sz="4"/>
            </w:tcBorders>
            <w:shd w:fill="E1F5EE" w:val="clear"/>
            <w:tcMar>
              <w:top w:type="dxa" w:w="80"/>
              <w:left w:type="dxa" w:w="140"/>
              <w:bottom w:type="dxa" w:w="80"/>
              <w:right w:type="dxa" w:w="140"/>
            </w:tcMar>
          </w:tcPr>
          <w:p>
            <w:pPr>
              <w:spacing w:after="0" w:before="0"/>
            </w:pPr>
            <w:r>
              <w:rPr>
                <w:rFonts w:ascii="Arial" w:cs="Arial" w:eastAsia="Arial" w:hAnsi="Arial"/>
                <w:b w:val="false"/>
                <w:bCs w:val="false"/>
                <w:color w:val="0F6E56"/>
                <w:sz w:val="20"/>
                <w:szCs w:val="20"/>
              </w:rPr>
              <w:t xml:space="preserve">YES</w:t>
            </w:r>
          </w:p>
        </w:tc>
        <w:tc>
          <w:tcPr>
            <w:tcW w:type="dxa" w:w="1132"/>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tcPr>
          <w:p>
            <w:pPr>
              <w:spacing w:after="0" w:before="0"/>
            </w:pPr>
            <w:r>
              <w:rPr>
                <w:rFonts w:ascii="Arial" w:cs="Arial" w:eastAsia="Arial" w:hAnsi="Arial"/>
                <w:b/>
                <w:bCs/>
                <w:color w:val="1B3A6B"/>
                <w:sz w:val="20"/>
                <w:szCs w:val="20"/>
              </w:rPr>
              <w:t xml:space="preserve">YES</w:t>
            </w:r>
          </w:p>
        </w:tc>
      </w:tr>
      <w:tr>
        <w:tc>
          <w:tcPr>
            <w:tcW w:type="dxa" w:w="2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SMS reminders</w:t>
            </w:r>
          </w:p>
        </w:tc>
        <w:tc>
          <w:tcPr>
            <w:tcW w:type="dxa" w:w="1132"/>
            <w:tcBorders>
              <w:top w:val="single" w:color="D3D1C7" w:sz="4"/>
              <w:left w:val="single" w:color="D3D1C7" w:sz="4"/>
              <w:bottom w:val="single" w:color="D3D1C7" w:sz="4"/>
              <w:right w:val="single" w:color="D3D1C7" w:sz="4"/>
            </w:tcBorders>
            <w:shd w:fill="E1F5EE" w:val="clear"/>
            <w:tcMar>
              <w:top w:type="dxa" w:w="80"/>
              <w:left w:type="dxa" w:w="140"/>
              <w:bottom w:type="dxa" w:w="80"/>
              <w:right w:type="dxa" w:w="140"/>
            </w:tcMar>
          </w:tcPr>
          <w:p>
            <w:pPr>
              <w:spacing w:after="0" w:before="0"/>
            </w:pPr>
            <w:r>
              <w:rPr>
                <w:rFonts w:ascii="Arial" w:cs="Arial" w:eastAsia="Arial" w:hAnsi="Arial"/>
                <w:b w:val="false"/>
                <w:bCs w:val="false"/>
                <w:color w:val="0F6E56"/>
                <w:sz w:val="20"/>
                <w:szCs w:val="20"/>
              </w:rPr>
              <w:t xml:space="preserve">YES</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tcPr>
          <w:p>
            <w:pPr>
              <w:spacing w:after="0" w:before="0"/>
            </w:pPr>
            <w:r>
              <w:rPr>
                <w:rFonts w:ascii="Arial" w:cs="Arial" w:eastAsia="Arial" w:hAnsi="Arial"/>
                <w:b/>
                <w:bCs/>
                <w:color w:val="1B3A6B"/>
                <w:sz w:val="20"/>
                <w:szCs w:val="20"/>
              </w:rPr>
              <w:t xml:space="preserve">YES — Phase 2</w:t>
            </w:r>
          </w:p>
        </w:tc>
      </w:tr>
      <w:tr>
        <w:tc>
          <w:tcPr>
            <w:tcW w:type="dxa" w:w="2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Statutory interest calculator</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tcPr>
          <w:p>
            <w:pPr>
              <w:spacing w:after="0" w:before="0"/>
            </w:pPr>
            <w:r>
              <w:rPr>
                <w:rFonts w:ascii="Arial" w:cs="Arial" w:eastAsia="Arial" w:hAnsi="Arial"/>
                <w:b/>
                <w:bCs/>
                <w:color w:val="1B3A6B"/>
                <w:sz w:val="20"/>
                <w:szCs w:val="20"/>
              </w:rPr>
              <w:t xml:space="preserve">YES — core feature</w:t>
            </w:r>
          </w:p>
        </w:tc>
      </w:tr>
      <w:tr>
        <w:tc>
          <w:tcPr>
            <w:tcW w:type="dxa" w:w="2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Late Payment Act claim letters</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tcPr>
          <w:p>
            <w:pPr>
              <w:spacing w:after="0" w:before="0"/>
            </w:pPr>
            <w:r>
              <w:rPr>
                <w:rFonts w:ascii="Arial" w:cs="Arial" w:eastAsia="Arial" w:hAnsi="Arial"/>
                <w:b/>
                <w:bCs/>
                <w:color w:val="1B3A6B"/>
                <w:sz w:val="20"/>
                <w:szCs w:val="20"/>
              </w:rPr>
              <w:t xml:space="preserve">YES — core feature</w:t>
            </w:r>
          </w:p>
        </w:tc>
      </w:tr>
      <w:tr>
        <w:tc>
          <w:tcPr>
            <w:tcW w:type="dxa" w:w="2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Fixed statutory compensation claim</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tcPr>
          <w:p>
            <w:pPr>
              <w:spacing w:after="0" w:before="0"/>
            </w:pPr>
            <w:r>
              <w:rPr>
                <w:rFonts w:ascii="Arial" w:cs="Arial" w:eastAsia="Arial" w:hAnsi="Arial"/>
                <w:b/>
                <w:bCs/>
                <w:color w:val="1B3A6B"/>
                <w:sz w:val="20"/>
                <w:szCs w:val="20"/>
              </w:rPr>
              <w:t xml:space="preserve">YES — £40–£100 per invoice</w:t>
            </w:r>
          </w:p>
        </w:tc>
      </w:tr>
      <w:tr>
        <w:tc>
          <w:tcPr>
            <w:tcW w:type="dxa" w:w="2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Legal escalation sequence (5 steps)</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FAEEDA" w:val="clear"/>
            <w:tcMar>
              <w:top w:type="dxa" w:w="80"/>
              <w:left w:type="dxa" w:w="140"/>
              <w:bottom w:type="dxa" w:w="80"/>
              <w:right w:type="dxa" w:w="140"/>
            </w:tcMar>
          </w:tcPr>
          <w:p>
            <w:pPr>
              <w:spacing w:after="0" w:before="0"/>
            </w:pPr>
            <w:r>
              <w:rPr>
                <w:rFonts w:ascii="Arial" w:cs="Arial" w:eastAsia="Arial" w:hAnsi="Arial"/>
                <w:b w:val="false"/>
                <w:bCs w:val="false"/>
                <w:color w:val="854F0B"/>
                <w:sz w:val="20"/>
                <w:szCs w:val="20"/>
              </w:rPr>
              <w:t xml:space="preserve">Partial</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tcPr>
          <w:p>
            <w:pPr>
              <w:spacing w:after="0" w:before="0"/>
            </w:pPr>
            <w:r>
              <w:rPr>
                <w:rFonts w:ascii="Arial" w:cs="Arial" w:eastAsia="Arial" w:hAnsi="Arial"/>
                <w:b/>
                <w:bCs/>
                <w:color w:val="1B3A6B"/>
                <w:sz w:val="20"/>
                <w:szCs w:val="20"/>
              </w:rPr>
              <w:t xml:space="preserve">YES — automated</w:t>
            </w:r>
          </w:p>
        </w:tc>
      </w:tr>
      <w:tr>
        <w:tc>
          <w:tcPr>
            <w:tcW w:type="dxa" w:w="2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Success fee on recovery</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tcPr>
          <w:p>
            <w:pPr>
              <w:spacing w:after="0" w:before="0"/>
            </w:pPr>
            <w:r>
              <w:rPr>
                <w:rFonts w:ascii="Arial" w:cs="Arial" w:eastAsia="Arial" w:hAnsi="Arial"/>
                <w:b/>
                <w:bCs/>
                <w:color w:val="1B3A6B"/>
                <w:sz w:val="20"/>
                <w:szCs w:val="20"/>
              </w:rPr>
              <w:t xml:space="preserve">YES — 1–2%</w:t>
            </w:r>
          </w:p>
        </w:tc>
      </w:tr>
      <w:tr>
        <w:tc>
          <w:tcPr>
            <w:tcW w:type="dxa" w:w="2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Small Claims Court guidance</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tcPr>
          <w:p>
            <w:pPr>
              <w:spacing w:after="0" w:before="0"/>
            </w:pPr>
            <w:r>
              <w:rPr>
                <w:rFonts w:ascii="Arial" w:cs="Arial" w:eastAsia="Arial" w:hAnsi="Arial"/>
                <w:b/>
                <w:bCs/>
                <w:color w:val="1B3A6B"/>
                <w:sz w:val="20"/>
                <w:szCs w:val="20"/>
              </w:rPr>
              <w:t xml:space="preserve">YES — template + guide</w:t>
            </w:r>
          </w:p>
        </w:tc>
      </w:tr>
      <w:tr>
        <w:tc>
          <w:tcPr>
            <w:tcW w:type="dxa" w:w="2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Invoice financing referral</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E1F5EE" w:val="clear"/>
            <w:tcMar>
              <w:top w:type="dxa" w:w="80"/>
              <w:left w:type="dxa" w:w="140"/>
              <w:bottom w:type="dxa" w:w="80"/>
              <w:right w:type="dxa" w:w="140"/>
            </w:tcMar>
          </w:tcPr>
          <w:p>
            <w:pPr>
              <w:spacing w:after="0" w:before="0"/>
            </w:pPr>
            <w:r>
              <w:rPr>
                <w:rFonts w:ascii="Arial" w:cs="Arial" w:eastAsia="Arial" w:hAnsi="Arial"/>
                <w:b w:val="false"/>
                <w:bCs w:val="false"/>
                <w:color w:val="0F6E56"/>
                <w:sz w:val="20"/>
                <w:szCs w:val="20"/>
              </w:rPr>
              <w:t xml:space="preserve">YES</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E1F5EE" w:val="clear"/>
            <w:tcMar>
              <w:top w:type="dxa" w:w="80"/>
              <w:left w:type="dxa" w:w="140"/>
              <w:bottom w:type="dxa" w:w="80"/>
              <w:right w:type="dxa" w:w="140"/>
            </w:tcMar>
          </w:tcPr>
          <w:p>
            <w:pPr>
              <w:spacing w:after="0" w:before="0"/>
            </w:pPr>
            <w:r>
              <w:rPr>
                <w:rFonts w:ascii="Arial" w:cs="Arial" w:eastAsia="Arial" w:hAnsi="Arial"/>
                <w:b w:val="false"/>
                <w:bCs w:val="false"/>
                <w:color w:val="0F6E56"/>
                <w:sz w:val="20"/>
                <w:szCs w:val="20"/>
              </w:rPr>
              <w:t xml:space="preserve">YES</w:t>
            </w:r>
          </w:p>
        </w:tc>
        <w:tc>
          <w:tcPr>
            <w:tcW w:type="dxa" w:w="1132"/>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tcPr>
          <w:p>
            <w:pPr>
              <w:spacing w:after="0" w:before="0"/>
            </w:pPr>
            <w:r>
              <w:rPr>
                <w:rFonts w:ascii="Arial" w:cs="Arial" w:eastAsia="Arial" w:hAnsi="Arial"/>
                <w:b/>
                <w:bCs/>
                <w:color w:val="1B3A6B"/>
                <w:sz w:val="20"/>
                <w:szCs w:val="20"/>
              </w:rPr>
              <w:t xml:space="preserve">YES — Phase 2 (referral fee)</w:t>
            </w:r>
          </w:p>
        </w:tc>
      </w:tr>
      <w:tr>
        <w:tc>
          <w:tcPr>
            <w:tcW w:type="dxa" w:w="2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Credit risk checking</w:t>
            </w:r>
          </w:p>
        </w:tc>
        <w:tc>
          <w:tcPr>
            <w:tcW w:type="dxa" w:w="1132"/>
            <w:tcBorders>
              <w:top w:val="single" w:color="D3D1C7" w:sz="4"/>
              <w:left w:val="single" w:color="D3D1C7" w:sz="4"/>
              <w:bottom w:val="single" w:color="D3D1C7" w:sz="4"/>
              <w:right w:val="single" w:color="D3D1C7" w:sz="4"/>
            </w:tcBorders>
            <w:shd w:fill="E1F5EE" w:val="clear"/>
            <w:tcMar>
              <w:top w:type="dxa" w:w="80"/>
              <w:left w:type="dxa" w:w="140"/>
              <w:bottom w:type="dxa" w:w="80"/>
              <w:right w:type="dxa" w:w="140"/>
            </w:tcMar>
          </w:tcPr>
          <w:p>
            <w:pPr>
              <w:spacing w:after="0" w:before="0"/>
            </w:pPr>
            <w:r>
              <w:rPr>
                <w:rFonts w:ascii="Arial" w:cs="Arial" w:eastAsia="Arial" w:hAnsi="Arial"/>
                <w:b w:val="false"/>
                <w:bCs w:val="false"/>
                <w:color w:val="0F6E56"/>
                <w:sz w:val="20"/>
                <w:szCs w:val="20"/>
              </w:rPr>
              <w:t xml:space="preserve">YES</w:t>
            </w:r>
          </w:p>
        </w:tc>
        <w:tc>
          <w:tcPr>
            <w:tcW w:type="dxa" w:w="1132"/>
            <w:tcBorders>
              <w:top w:val="single" w:color="D3D1C7" w:sz="4"/>
              <w:left w:val="single" w:color="D3D1C7" w:sz="4"/>
              <w:bottom w:val="single" w:color="D3D1C7" w:sz="4"/>
              <w:right w:val="single" w:color="D3D1C7" w:sz="4"/>
            </w:tcBorders>
            <w:shd w:fill="E1F5EE" w:val="clear"/>
            <w:tcMar>
              <w:top w:type="dxa" w:w="80"/>
              <w:left w:type="dxa" w:w="140"/>
              <w:bottom w:type="dxa" w:w="80"/>
              <w:right w:type="dxa" w:w="140"/>
            </w:tcMar>
          </w:tcPr>
          <w:p>
            <w:pPr>
              <w:spacing w:after="0" w:before="0"/>
            </w:pPr>
            <w:r>
              <w:rPr>
                <w:rFonts w:ascii="Arial" w:cs="Arial" w:eastAsia="Arial" w:hAnsi="Arial"/>
                <w:b w:val="false"/>
                <w:bCs w:val="false"/>
                <w:color w:val="0F6E56"/>
                <w:sz w:val="20"/>
                <w:szCs w:val="20"/>
              </w:rPr>
              <w:t xml:space="preserve">YES</w:t>
            </w:r>
          </w:p>
        </w:tc>
        <w:tc>
          <w:tcPr>
            <w:tcW w:type="dxa" w:w="1132"/>
            <w:tcBorders>
              <w:top w:val="single" w:color="D3D1C7" w:sz="4"/>
              <w:left w:val="single" w:color="D3D1C7" w:sz="4"/>
              <w:bottom w:val="single" w:color="D3D1C7" w:sz="4"/>
              <w:right w:val="single" w:color="D3D1C7" w:sz="4"/>
            </w:tcBorders>
            <w:shd w:fill="E1F5EE" w:val="clear"/>
            <w:tcMar>
              <w:top w:type="dxa" w:w="80"/>
              <w:left w:type="dxa" w:w="140"/>
              <w:bottom w:type="dxa" w:w="80"/>
              <w:right w:type="dxa" w:w="140"/>
            </w:tcMar>
          </w:tcPr>
          <w:p>
            <w:pPr>
              <w:spacing w:after="0" w:before="0"/>
            </w:pPr>
            <w:r>
              <w:rPr>
                <w:rFonts w:ascii="Arial" w:cs="Arial" w:eastAsia="Arial" w:hAnsi="Arial"/>
                <w:b w:val="false"/>
                <w:bCs w:val="false"/>
                <w:color w:val="0F6E56"/>
                <w:sz w:val="20"/>
                <w:szCs w:val="20"/>
              </w:rPr>
              <w:t xml:space="preserve">YES</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tcPr>
          <w:p>
            <w:pPr>
              <w:spacing w:after="0" w:before="0"/>
            </w:pPr>
            <w:r>
              <w:rPr>
                <w:rFonts w:ascii="Arial" w:cs="Arial" w:eastAsia="Arial" w:hAnsi="Arial"/>
                <w:b/>
                <w:bCs/>
                <w:color w:val="1B3A6B"/>
                <w:sz w:val="20"/>
                <w:szCs w:val="20"/>
              </w:rPr>
              <w:t xml:space="preserve">Planned — Phase 2</w:t>
            </w:r>
          </w:p>
        </w:tc>
      </w:tr>
      <w:tr>
        <w:tc>
          <w:tcPr>
            <w:tcW w:type="dxa" w:w="2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Xero integration</w:t>
            </w:r>
          </w:p>
        </w:tc>
        <w:tc>
          <w:tcPr>
            <w:tcW w:type="dxa" w:w="1132"/>
            <w:tcBorders>
              <w:top w:val="single" w:color="D3D1C7" w:sz="4"/>
              <w:left w:val="single" w:color="D3D1C7" w:sz="4"/>
              <w:bottom w:val="single" w:color="D3D1C7" w:sz="4"/>
              <w:right w:val="single" w:color="D3D1C7" w:sz="4"/>
            </w:tcBorders>
            <w:shd w:fill="E1F5EE" w:val="clear"/>
            <w:tcMar>
              <w:top w:type="dxa" w:w="80"/>
              <w:left w:type="dxa" w:w="140"/>
              <w:bottom w:type="dxa" w:w="80"/>
              <w:right w:type="dxa" w:w="140"/>
            </w:tcMar>
          </w:tcPr>
          <w:p>
            <w:pPr>
              <w:spacing w:after="0" w:before="0"/>
            </w:pPr>
            <w:r>
              <w:rPr>
                <w:rFonts w:ascii="Arial" w:cs="Arial" w:eastAsia="Arial" w:hAnsi="Arial"/>
                <w:b w:val="false"/>
                <w:bCs w:val="false"/>
                <w:color w:val="0F6E56"/>
                <w:sz w:val="20"/>
                <w:szCs w:val="20"/>
              </w:rPr>
              <w:t xml:space="preserve">YES</w:t>
            </w:r>
          </w:p>
        </w:tc>
        <w:tc>
          <w:tcPr>
            <w:tcW w:type="dxa" w:w="1132"/>
            <w:tcBorders>
              <w:top w:val="single" w:color="D3D1C7" w:sz="4"/>
              <w:left w:val="single" w:color="D3D1C7" w:sz="4"/>
              <w:bottom w:val="single" w:color="D3D1C7" w:sz="4"/>
              <w:right w:val="single" w:color="D3D1C7" w:sz="4"/>
            </w:tcBorders>
            <w:shd w:fill="E1F5EE" w:val="clear"/>
            <w:tcMar>
              <w:top w:type="dxa" w:w="80"/>
              <w:left w:type="dxa" w:w="140"/>
              <w:bottom w:type="dxa" w:w="80"/>
              <w:right w:type="dxa" w:w="140"/>
            </w:tcMar>
          </w:tcPr>
          <w:p>
            <w:pPr>
              <w:spacing w:after="0" w:before="0"/>
            </w:pPr>
            <w:r>
              <w:rPr>
                <w:rFonts w:ascii="Arial" w:cs="Arial" w:eastAsia="Arial" w:hAnsi="Arial"/>
                <w:b w:val="false"/>
                <w:bCs w:val="false"/>
                <w:color w:val="0F6E56"/>
                <w:sz w:val="20"/>
                <w:szCs w:val="20"/>
              </w:rPr>
              <w:t xml:space="preserve">YES</w:t>
            </w:r>
          </w:p>
        </w:tc>
        <w:tc>
          <w:tcPr>
            <w:tcW w:type="dxa" w:w="1132"/>
            <w:tcBorders>
              <w:top w:val="single" w:color="D3D1C7" w:sz="4"/>
              <w:left w:val="single" w:color="D3D1C7" w:sz="4"/>
              <w:bottom w:val="single" w:color="D3D1C7" w:sz="4"/>
              <w:right w:val="single" w:color="D3D1C7" w:sz="4"/>
            </w:tcBorders>
            <w:shd w:fill="E1F5EE" w:val="clear"/>
            <w:tcMar>
              <w:top w:type="dxa" w:w="80"/>
              <w:left w:type="dxa" w:w="140"/>
              <w:bottom w:type="dxa" w:w="80"/>
              <w:right w:type="dxa" w:w="140"/>
            </w:tcMar>
          </w:tcPr>
          <w:p>
            <w:pPr>
              <w:spacing w:after="0" w:before="0"/>
            </w:pPr>
            <w:r>
              <w:rPr>
                <w:rFonts w:ascii="Arial" w:cs="Arial" w:eastAsia="Arial" w:hAnsi="Arial"/>
                <w:b w:val="false"/>
                <w:bCs w:val="false"/>
                <w:color w:val="0F6E56"/>
                <w:sz w:val="20"/>
                <w:szCs w:val="20"/>
              </w:rPr>
              <w:t xml:space="preserve">YES</w:t>
            </w:r>
          </w:p>
        </w:tc>
        <w:tc>
          <w:tcPr>
            <w:tcW w:type="dxa" w:w="1132"/>
            <w:tcBorders>
              <w:top w:val="single" w:color="D3D1C7" w:sz="4"/>
              <w:left w:val="single" w:color="D3D1C7" w:sz="4"/>
              <w:bottom w:val="single" w:color="D3D1C7" w:sz="4"/>
              <w:right w:val="single" w:color="D3D1C7" w:sz="4"/>
            </w:tcBorders>
            <w:shd w:fill="E1F5EE" w:val="clear"/>
            <w:tcMar>
              <w:top w:type="dxa" w:w="80"/>
              <w:left w:type="dxa" w:w="140"/>
              <w:bottom w:type="dxa" w:w="80"/>
              <w:right w:type="dxa" w:w="140"/>
            </w:tcMar>
          </w:tcPr>
          <w:p>
            <w:pPr>
              <w:spacing w:after="0" w:before="0"/>
            </w:pPr>
            <w:r>
              <w:rPr>
                <w:rFonts w:ascii="Arial" w:cs="Arial" w:eastAsia="Arial" w:hAnsi="Arial"/>
                <w:b w:val="false"/>
                <w:bCs w:val="false"/>
                <w:color w:val="0F6E56"/>
                <w:sz w:val="20"/>
                <w:szCs w:val="20"/>
              </w:rPr>
              <w:t xml:space="preserve">YES</w:t>
            </w:r>
          </w:p>
        </w:tc>
        <w:tc>
          <w:tcPr>
            <w:tcW w:type="dxa" w:w="1132"/>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tcPr>
          <w:p>
            <w:pPr>
              <w:spacing w:after="0" w:before="0"/>
            </w:pPr>
            <w:r>
              <w:rPr>
                <w:rFonts w:ascii="Arial" w:cs="Arial" w:eastAsia="Arial" w:hAnsi="Arial"/>
                <w:b/>
                <w:bCs/>
                <w:color w:val="1B3A6B"/>
                <w:sz w:val="20"/>
                <w:szCs w:val="20"/>
              </w:rPr>
              <w:t xml:space="preserve">YES — MVP priority</w:t>
            </w:r>
          </w:p>
        </w:tc>
      </w:tr>
      <w:tr>
        <w:tc>
          <w:tcPr>
            <w:tcW w:type="dxa" w:w="2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QuickBooks integration</w:t>
            </w:r>
          </w:p>
        </w:tc>
        <w:tc>
          <w:tcPr>
            <w:tcW w:type="dxa" w:w="1132"/>
            <w:tcBorders>
              <w:top w:val="single" w:color="D3D1C7" w:sz="4"/>
              <w:left w:val="single" w:color="D3D1C7" w:sz="4"/>
              <w:bottom w:val="single" w:color="D3D1C7" w:sz="4"/>
              <w:right w:val="single" w:color="D3D1C7" w:sz="4"/>
            </w:tcBorders>
            <w:shd w:fill="E1F5EE" w:val="clear"/>
            <w:tcMar>
              <w:top w:type="dxa" w:w="80"/>
              <w:left w:type="dxa" w:w="140"/>
              <w:bottom w:type="dxa" w:w="80"/>
              <w:right w:type="dxa" w:w="140"/>
            </w:tcMar>
          </w:tcPr>
          <w:p>
            <w:pPr>
              <w:spacing w:after="0" w:before="0"/>
            </w:pPr>
            <w:r>
              <w:rPr>
                <w:rFonts w:ascii="Arial" w:cs="Arial" w:eastAsia="Arial" w:hAnsi="Arial"/>
                <w:b w:val="false"/>
                <w:bCs w:val="false"/>
                <w:color w:val="0F6E56"/>
                <w:sz w:val="20"/>
                <w:szCs w:val="20"/>
              </w:rPr>
              <w:t xml:space="preserve">YES</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E1F5EE" w:val="clear"/>
            <w:tcMar>
              <w:top w:type="dxa" w:w="80"/>
              <w:left w:type="dxa" w:w="140"/>
              <w:bottom w:type="dxa" w:w="80"/>
              <w:right w:type="dxa" w:w="140"/>
            </w:tcMar>
          </w:tcPr>
          <w:p>
            <w:pPr>
              <w:spacing w:after="0" w:before="0"/>
            </w:pPr>
            <w:r>
              <w:rPr>
                <w:rFonts w:ascii="Arial" w:cs="Arial" w:eastAsia="Arial" w:hAnsi="Arial"/>
                <w:b w:val="false"/>
                <w:bCs w:val="false"/>
                <w:color w:val="0F6E56"/>
                <w:sz w:val="20"/>
                <w:szCs w:val="20"/>
              </w:rPr>
              <w:t xml:space="preserve">YES</w:t>
            </w:r>
          </w:p>
        </w:tc>
        <w:tc>
          <w:tcPr>
            <w:tcW w:type="dxa" w:w="1132"/>
            <w:tcBorders>
              <w:top w:val="single" w:color="D3D1C7" w:sz="4"/>
              <w:left w:val="single" w:color="D3D1C7" w:sz="4"/>
              <w:bottom w:val="single" w:color="D3D1C7" w:sz="4"/>
              <w:right w:val="single" w:color="D3D1C7" w:sz="4"/>
            </w:tcBorders>
            <w:shd w:fill="E1F5EE" w:val="clear"/>
            <w:tcMar>
              <w:top w:type="dxa" w:w="80"/>
              <w:left w:type="dxa" w:w="140"/>
              <w:bottom w:type="dxa" w:w="80"/>
              <w:right w:type="dxa" w:w="140"/>
            </w:tcMar>
          </w:tcPr>
          <w:p>
            <w:pPr>
              <w:spacing w:after="0" w:before="0"/>
            </w:pPr>
            <w:r>
              <w:rPr>
                <w:rFonts w:ascii="Arial" w:cs="Arial" w:eastAsia="Arial" w:hAnsi="Arial"/>
                <w:b w:val="false"/>
                <w:bCs w:val="false"/>
                <w:color w:val="0F6E56"/>
                <w:sz w:val="20"/>
                <w:szCs w:val="20"/>
              </w:rPr>
              <w:t xml:space="preserve">YES</w:t>
            </w:r>
          </w:p>
        </w:tc>
        <w:tc>
          <w:tcPr>
            <w:tcW w:type="dxa" w:w="1132"/>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tcPr>
          <w:p>
            <w:pPr>
              <w:spacing w:after="0" w:before="0"/>
            </w:pPr>
            <w:r>
              <w:rPr>
                <w:rFonts w:ascii="Arial" w:cs="Arial" w:eastAsia="Arial" w:hAnsi="Arial"/>
                <w:b/>
                <w:bCs/>
                <w:color w:val="1B3A6B"/>
                <w:sz w:val="20"/>
                <w:szCs w:val="20"/>
              </w:rPr>
              <w:t xml:space="preserve">YES — MVP</w:t>
            </w:r>
          </w:p>
        </w:tc>
      </w:tr>
      <w:tr>
        <w:tc>
          <w:tcPr>
            <w:tcW w:type="dxa" w:w="2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FreeAgent integration</w:t>
            </w:r>
          </w:p>
        </w:tc>
        <w:tc>
          <w:tcPr>
            <w:tcW w:type="dxa" w:w="1132"/>
            <w:tcBorders>
              <w:top w:val="single" w:color="D3D1C7" w:sz="4"/>
              <w:left w:val="single" w:color="D3D1C7" w:sz="4"/>
              <w:bottom w:val="single" w:color="D3D1C7" w:sz="4"/>
              <w:right w:val="single" w:color="D3D1C7" w:sz="4"/>
            </w:tcBorders>
            <w:shd w:fill="E1F5EE" w:val="clear"/>
            <w:tcMar>
              <w:top w:type="dxa" w:w="80"/>
              <w:left w:type="dxa" w:w="140"/>
              <w:bottom w:type="dxa" w:w="80"/>
              <w:right w:type="dxa" w:w="140"/>
            </w:tcMar>
          </w:tcPr>
          <w:p>
            <w:pPr>
              <w:spacing w:after="0" w:before="0"/>
            </w:pPr>
            <w:r>
              <w:rPr>
                <w:rFonts w:ascii="Arial" w:cs="Arial" w:eastAsia="Arial" w:hAnsi="Arial"/>
                <w:b w:val="false"/>
                <w:bCs w:val="false"/>
                <w:color w:val="0F6E56"/>
                <w:sz w:val="20"/>
                <w:szCs w:val="20"/>
              </w:rPr>
              <w:t xml:space="preserve">YES</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E1F5EE" w:val="clear"/>
            <w:tcMar>
              <w:top w:type="dxa" w:w="80"/>
              <w:left w:type="dxa" w:w="140"/>
              <w:bottom w:type="dxa" w:w="80"/>
              <w:right w:type="dxa" w:w="140"/>
            </w:tcMar>
          </w:tcPr>
          <w:p>
            <w:pPr>
              <w:spacing w:after="0" w:before="0"/>
            </w:pPr>
            <w:r>
              <w:rPr>
                <w:rFonts w:ascii="Arial" w:cs="Arial" w:eastAsia="Arial" w:hAnsi="Arial"/>
                <w:b w:val="false"/>
                <w:bCs w:val="false"/>
                <w:color w:val="0F6E56"/>
                <w:sz w:val="20"/>
                <w:szCs w:val="20"/>
              </w:rPr>
              <w:t xml:space="preserve">YES</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tcPr>
          <w:p>
            <w:pPr>
              <w:spacing w:after="0" w:before="0"/>
            </w:pPr>
            <w:r>
              <w:rPr>
                <w:rFonts w:ascii="Arial" w:cs="Arial" w:eastAsia="Arial" w:hAnsi="Arial"/>
                <w:b/>
                <w:bCs/>
                <w:color w:val="1B3A6B"/>
                <w:sz w:val="20"/>
                <w:szCs w:val="20"/>
              </w:rPr>
              <w:t xml:space="preserve">YES — MVP</w:t>
            </w:r>
          </w:p>
        </w:tc>
      </w:tr>
      <w:tr>
        <w:tc>
          <w:tcPr>
            <w:tcW w:type="dxa" w:w="2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Accountant white-label</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tcPr>
          <w:p>
            <w:pPr>
              <w:spacing w:after="0" w:before="0"/>
            </w:pPr>
            <w:r>
              <w:rPr>
                <w:rFonts w:ascii="Arial" w:cs="Arial" w:eastAsia="Arial" w:hAnsi="Arial"/>
                <w:b/>
                <w:bCs/>
                <w:color w:val="1B3A6B"/>
                <w:sz w:val="20"/>
                <w:szCs w:val="20"/>
              </w:rPr>
              <w:t xml:space="preserve">YES — Phase 2</w:t>
            </w:r>
          </w:p>
        </w:tc>
      </w:tr>
      <w:tr>
        <w:tc>
          <w:tcPr>
            <w:tcW w:type="dxa" w:w="2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Free statutory interest calculator</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FCEBEB" w:val="clear"/>
            <w:tcMar>
              <w:top w:type="dxa" w:w="80"/>
              <w:left w:type="dxa" w:w="140"/>
              <w:bottom w:type="dxa" w:w="80"/>
              <w:right w:type="dxa" w:w="140"/>
            </w:tcMar>
          </w:tcPr>
          <w:p>
            <w:pPr>
              <w:spacing w:after="0" w:before="0"/>
            </w:pPr>
            <w:r>
              <w:rPr>
                <w:rFonts w:ascii="Arial" w:cs="Arial" w:eastAsia="Arial" w:hAnsi="Arial"/>
                <w:b w:val="false"/>
                <w:bCs w:val="false"/>
                <w:color w:val="A32D2D"/>
                <w:sz w:val="20"/>
                <w:szCs w:val="20"/>
              </w:rPr>
              <w:t xml:space="preserve">NO</w:t>
            </w:r>
          </w:p>
        </w:tc>
        <w:tc>
          <w:tcPr>
            <w:tcW w:type="dxa" w:w="1132"/>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tcPr>
          <w:p>
            <w:pPr>
              <w:spacing w:after="0" w:before="0"/>
            </w:pPr>
            <w:r>
              <w:rPr>
                <w:rFonts w:ascii="Arial" w:cs="Arial" w:eastAsia="Arial" w:hAnsi="Arial"/>
                <w:b/>
                <w:bCs/>
                <w:color w:val="1B3A6B"/>
                <w:sz w:val="20"/>
                <w:szCs w:val="20"/>
              </w:rPr>
              <w:t xml:space="preserve">YES — lead magnet</w:t>
            </w:r>
          </w:p>
        </w:tc>
      </w:tr>
    </w:tbl>
    <w:p>
      <w:pPr>
        <w:spacing w:after="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0F6E56" w:sz="16"/>
              <w:bottom w:val="nil"/>
              <w:right w:val="nil"/>
            </w:tcBorders>
            <w:shd w:fill="E1F5EE" w:val="clear"/>
            <w:tcMar>
              <w:top w:type="dxa" w:w="100"/>
              <w:left w:type="dxa" w:w="200"/>
              <w:bottom w:type="dxa" w:w="100"/>
              <w:right w:type="dxa" w:w="140"/>
            </w:tcMar>
          </w:tcPr>
          <w:p>
            <w:pPr>
              <w:spacing w:after="0" w:before="0"/>
            </w:pPr>
            <w:r>
              <w:rPr>
                <w:rFonts w:ascii="Arial" w:cs="Arial" w:eastAsia="Arial" w:hAnsi="Arial"/>
                <w:b/>
                <w:bCs/>
                <w:color w:val="1B3A6B"/>
                <w:sz w:val="22"/>
                <w:szCs w:val="22"/>
              </w:rPr>
              <w:t xml:space="preserve">Positioning in one sentence: </w:t>
            </w:r>
            <w:r>
              <w:rPr>
                <w:rFonts w:ascii="Arial" w:cs="Arial" w:eastAsia="Arial" w:hAnsi="Arial"/>
                <w:color w:val="1B3A6B"/>
                <w:sz w:val="22"/>
                <w:szCs w:val="22"/>
              </w:rPr>
              <w:t xml:space="preserve">Chaser sends polite emails. PayForce enforces your legal rights. They are not competitors — they are sequential. PayForce picks up where Chaser stops.</w:t>
            </w:r>
          </w:p>
        </w:tc>
      </w:tr>
    </w:tbl>
    <w:p>
      <w:pPr>
        <w:spacing w:after="0" w:before="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0F6E56"/>
          <w:sz w:val="28"/>
          <w:szCs w:val="28"/>
        </w:rPr>
        <w:t xml:space="preserve">4.3 What Chaser users actually say they want</w:t>
      </w:r>
    </w:p>
    <w:p>
      <w:pPr>
        <w:spacing w:after="120" w:before="0"/>
      </w:pPr>
      <w:r>
        <w:rPr>
          <w:rFonts w:ascii="Arial" w:cs="Arial" w:eastAsia="Arial" w:hAnsi="Arial"/>
          <w:color w:val="1A1A1A"/>
          <w:sz w:val="22"/>
          <w:szCs w:val="22"/>
        </w:rPr>
        <w:t xml:space="preserve">Chaser's G2 and Capterra reviews contain a consistent recurring complaint that validates PayForce's exact positioning:</w:t>
      </w:r>
    </w:p>
    <w:p>
      <w:pPr>
        <w:spacing w:after="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185FA5" w:sz="16"/>
              <w:bottom w:val="nil"/>
              <w:right w:val="nil"/>
            </w:tcBorders>
            <w:shd w:fill="E6F1FB" w:val="clear"/>
            <w:tcMar>
              <w:top w:type="dxa" w:w="100"/>
              <w:left w:type="dxa" w:w="200"/>
              <w:bottom w:type="dxa" w:w="100"/>
              <w:right w:type="dxa" w:w="140"/>
            </w:tcMar>
          </w:tcPr>
          <w:p>
            <w:pPr>
              <w:spacing w:after="80" w:before="0"/>
            </w:pPr>
            <w:r>
              <w:rPr>
                <w:rFonts w:ascii="Arial" w:cs="Arial" w:eastAsia="Arial" w:hAnsi="Arial"/>
                <w:color w:val="1A1A1A"/>
                <w:sz w:val="22"/>
                <w:szCs w:val="22"/>
              </w:rPr>
              <w:t xml:space="preserve">"Would be great to link to a debt collection service." — Chaser G2 review</w:t>
            </w:r>
          </w:p>
          <w:p>
            <w:pPr>
              <w:spacing w:after="80" w:before="0"/>
            </w:pPr>
            <w:r>
              <w:rPr>
                <w:rFonts w:ascii="Arial" w:cs="Arial" w:eastAsia="Arial" w:hAnsi="Arial"/>
                <w:color w:val="1A1A1A"/>
                <w:sz w:val="22"/>
                <w:szCs w:val="22"/>
              </w:rPr>
              <w:t xml:space="preserve">"There's nothing I don't like about the software. Would be great to link to a debt collection service." — Capterra</w:t>
            </w:r>
          </w:p>
          <w:p>
            <w:pPr>
              <w:spacing w:after="80" w:before="0"/>
            </w:pPr>
            <w:r>
              <w:rPr>
                <w:rFonts w:ascii="Arial" w:cs="Arial" w:eastAsia="Arial" w:hAnsi="Arial"/>
                <w:color w:val="1A1A1A"/>
                <w:sz w:val="22"/>
                <w:szCs w:val="22"/>
              </w:rPr>
              <w:t xml:space="preserve">"The system is excellent, but sometimes I need to escalate beyond email. There is no clear path." — Capterra</w:t>
            </w:r>
          </w:p>
          <w:p>
            <w:pPr>
              <w:spacing w:after="0" w:before="0"/>
            </w:pPr>
            <w:r>
              <w:rPr>
                <w:rFonts w:ascii="Arial" w:cs="Arial" w:eastAsia="Arial" w:hAnsi="Arial"/>
                <w:color w:val="1A1A1A"/>
                <w:sz w:val="22"/>
                <w:szCs w:val="22"/>
              </w:rPr>
              <w:t xml:space="preserve">"We need something between Chaser and a debt collection agency." — AccountingWEB comment</w:t>
            </w:r>
          </w:p>
        </w:tc>
      </w:tr>
    </w:tbl>
    <w:p>
      <w:pPr>
        <w:spacing w:after="0" w:before="0"/>
      </w:pPr>
      <w:r>
        <w:rPr>
          <w:rFonts w:ascii="Arial" w:cs="Arial" w:eastAsia="Arial" w:hAnsi="Arial"/>
          <w:color w:val="1A1A1A"/>
          <w:sz w:val="22"/>
          <w:szCs w:val="22"/>
        </w:rPr>
        <w:t xml:space="preserve"/>
      </w:r>
    </w:p>
    <w:p>
      <w:pPr>
        <w:spacing w:after="120" w:before="0"/>
      </w:pPr>
      <w:r>
        <w:rPr>
          <w:rFonts w:ascii="Arial" w:cs="Arial" w:eastAsia="Arial" w:hAnsi="Arial"/>
          <w:color w:val="1A1A1A"/>
          <w:sz w:val="22"/>
          <w:szCs w:val="22"/>
        </w:rPr>
        <w:t xml:space="preserve">These are PayForce's warmest prospects. They already understand the value of automated chasing. They just need the next step — and PayForce is that next step.</w:t>
      </w:r>
    </w:p>
    <w:p>
      <w:r>
        <w:br/>
      </w:r>
    </w:p>
    <w:p>
      <w:pPr>
        <w:pStyle w:val="Heading1"/>
        <w:pBdr>
          <w:bottom w:val="single" w:color="0F6E56" w:sz="8" w:space="4"/>
        </w:pBdr>
        <w:spacing w:after="160" w:before="360"/>
      </w:pPr>
      <w:r>
        <w:rPr>
          <w:rFonts w:ascii="Arial" w:cs="Arial" w:eastAsia="Arial" w:hAnsi="Arial"/>
          <w:b/>
          <w:bCs/>
          <w:color w:val="1B3A6B"/>
          <w:sz w:val="36"/>
          <w:szCs w:val="36"/>
        </w:rPr>
        <w:t xml:space="preserve">5. Product Description</w:t>
      </w:r>
    </w:p>
    <w:p>
      <w:pPr>
        <w:pStyle w:val="Heading2"/>
        <w:spacing w:after="120" w:before="240"/>
      </w:pPr>
      <w:r>
        <w:rPr>
          <w:rFonts w:ascii="Arial" w:cs="Arial" w:eastAsia="Arial" w:hAnsi="Arial"/>
          <w:b/>
          <w:bCs/>
          <w:color w:val="0F6E56"/>
          <w:sz w:val="28"/>
          <w:szCs w:val="28"/>
        </w:rPr>
        <w:t xml:space="preserve">5.1 What PayForce is</w:t>
      </w:r>
    </w:p>
    <w:p>
      <w:pPr>
        <w:spacing w:after="120" w:before="0"/>
      </w:pPr>
      <w:r>
        <w:rPr>
          <w:rFonts w:ascii="Arial" w:cs="Arial" w:eastAsia="Arial" w:hAnsi="Arial"/>
          <w:color w:val="1A1A1A"/>
          <w:sz w:val="22"/>
          <w:szCs w:val="22"/>
        </w:rPr>
        <w:t xml:space="preserve">PayForce is a UK SaaS platform with three core functions: (1) it connects to existing accounting software and automatically tracks all outstanding invoices; (2) it runs a five-step escalation sequence moving from polite reminders to statutory legal claims; and (3) it calculates and enforces statutory interest and fixed compensation rights under the Late Payment of Commercial Debts Act 1998.</w:t>
      </w:r>
    </w:p>
    <w:p>
      <w:pPr>
        <w:spacing w:after="0" w:before="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0F6E56"/>
          <w:sz w:val="28"/>
          <w:szCs w:val="28"/>
        </w:rPr>
        <w:t xml:space="preserve">5.2 What PayForce is NOT</w:t>
      </w:r>
    </w:p>
    <w:p>
      <w:pPr>
        <w:pStyle w:val="ListParagraph"/>
        <w:numPr>
          <w:ilvl w:val="0"/>
          <w:numId w:val="2"/>
        </w:numPr>
        <w:spacing w:after="80" w:before="0"/>
      </w:pPr>
      <w:r>
        <w:rPr>
          <w:rFonts w:ascii="Arial" w:cs="Arial" w:eastAsia="Arial" w:hAnsi="Arial"/>
          <w:color w:val="1A1A1A"/>
          <w:sz w:val="22"/>
          <w:szCs w:val="22"/>
        </w:rPr>
        <w:t xml:space="preserve">A debt collection agency — PayForce does not collect debts on behalf of clients or contact debtors independently</w:t>
      </w:r>
    </w:p>
    <w:p>
      <w:pPr>
        <w:pStyle w:val="ListParagraph"/>
        <w:numPr>
          <w:ilvl w:val="0"/>
          <w:numId w:val="2"/>
        </w:numPr>
        <w:spacing w:after="80" w:before="0"/>
      </w:pPr>
      <w:r>
        <w:rPr>
          <w:rFonts w:ascii="Arial" w:cs="Arial" w:eastAsia="Arial" w:hAnsi="Arial"/>
          <w:color w:val="1A1A1A"/>
          <w:sz w:val="22"/>
          <w:szCs w:val="22"/>
        </w:rPr>
        <w:t xml:space="preserve">A legal advice service — PayForce generates template documents and calculates statutory entitlements; it does not provide legal advice specific to any dispute</w:t>
      </w:r>
    </w:p>
    <w:p>
      <w:pPr>
        <w:pStyle w:val="ListParagraph"/>
        <w:numPr>
          <w:ilvl w:val="0"/>
          <w:numId w:val="2"/>
        </w:numPr>
        <w:spacing w:after="80" w:before="0"/>
      </w:pPr>
      <w:r>
        <w:rPr>
          <w:rFonts w:ascii="Arial" w:cs="Arial" w:eastAsia="Arial" w:hAnsi="Arial"/>
          <w:color w:val="1A1A1A"/>
          <w:sz w:val="22"/>
          <w:szCs w:val="22"/>
        </w:rPr>
        <w:t xml:space="preserve">A solicitor or SRA-authorised body — PayForce does not represent clients in court proceedings</w:t>
      </w:r>
    </w:p>
    <w:p>
      <w:pPr>
        <w:pStyle w:val="ListParagraph"/>
        <w:numPr>
          <w:ilvl w:val="0"/>
          <w:numId w:val="2"/>
        </w:numPr>
        <w:spacing w:after="80" w:before="0"/>
      </w:pPr>
      <w:r>
        <w:rPr>
          <w:rFonts w:ascii="Arial" w:cs="Arial" w:eastAsia="Arial" w:hAnsi="Arial"/>
          <w:color w:val="1A1A1A"/>
          <w:sz w:val="22"/>
          <w:szCs w:val="22"/>
        </w:rPr>
        <w:t xml:space="preserve">An invoice financing platform — PayForce does not advance cash against unpaid invoices (this is a Phase 2 referral partnership)</w:t>
      </w:r>
    </w:p>
    <w:p>
      <w:pPr>
        <w:spacing w:after="0" w:before="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0F6E56"/>
          <w:sz w:val="28"/>
          <w:szCs w:val="28"/>
        </w:rPr>
        <w:t xml:space="preserve">5.3 The five-step escalation system — core MVP</w:t>
      </w:r>
    </w:p>
    <w:p>
      <w:pPr>
        <w:spacing w:after="120" w:before="0"/>
      </w:pPr>
      <w:r>
        <w:rPr>
          <w:rFonts w:ascii="Arial" w:cs="Arial" w:eastAsia="Arial" w:hAnsi="Arial"/>
          <w:color w:val="1A1A1A"/>
          <w:sz w:val="22"/>
          <w:szCs w:val="22"/>
        </w:rPr>
        <w:t xml:space="preserve">PayForce's entire value is delivered through this five-step sequence. Each step triggers automatically based on the number of days overdue, calibrated to the client's payment terms setting.</w:t>
      </w:r>
    </w:p>
    <w:p>
      <w:pPr>
        <w:spacing w:after="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2600"/>
        <w:gridCol w:w="1360"/>
      </w:tblGrid>
      <w:tr>
        <w:trPr>
          <w:tblHeader/>
        </w:trPr>
        <w:tc>
          <w:tcPr>
            <w:tcW w:type="dxa" w:w="20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Step</w:t>
            </w:r>
          </w:p>
        </w:tc>
        <w:tc>
          <w:tcPr>
            <w:tcW w:type="dxa" w:w="17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Trigger</w:t>
            </w:r>
          </w:p>
        </w:tc>
        <w:tc>
          <w:tcPr>
            <w:tcW w:type="dxa" w:w="17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Tone</w:t>
            </w:r>
          </w:p>
        </w:tc>
        <w:tc>
          <w:tcPr>
            <w:tcW w:type="dxa" w:w="26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What PayForce sends</w:t>
            </w:r>
          </w:p>
        </w:tc>
        <w:tc>
          <w:tcPr>
            <w:tcW w:type="dxa" w:w="136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Success rate</w:t>
            </w:r>
          </w:p>
        </w:tc>
      </w:tr>
      <w:tr>
        <w:tc>
          <w:tcPr>
            <w:tcW w:type="dxa" w:w="20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Step 1 — Polite reminder</w:t>
            </w:r>
          </w:p>
        </w:tc>
        <w:tc>
          <w:tcPr>
            <w:tcW w:type="dxa" w:w="17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Due date passed</w:t>
            </w:r>
          </w:p>
        </w:tc>
        <w:tc>
          <w:tcPr>
            <w:tcW w:type="dxa" w:w="17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Friendly, professional</w:t>
            </w:r>
          </w:p>
        </w:tc>
        <w:tc>
          <w:tcPr>
            <w:tcW w:type="dxa" w:w="2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Personalised email from client's address: "Just checking in on this invoice..."</w:t>
            </w:r>
          </w:p>
        </w:tc>
        <w:tc>
          <w:tcPr>
            <w:tcW w:type="dxa" w:w="13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Resolves ~50% of overdue invoices</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Step 2 — Firm follow-up</w:t>
            </w:r>
          </w:p>
        </w:tc>
        <w:tc>
          <w:tcPr>
            <w:tcW w:type="dxa" w:w="17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7–10 days overdue</w:t>
            </w:r>
          </w:p>
        </w:tc>
        <w:tc>
          <w:tcPr>
            <w:tcW w:type="dxa" w:w="17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Firm but respectful</w:t>
            </w:r>
          </w:p>
        </w:tc>
        <w:tc>
          <w:tcPr>
            <w:tcW w:type="dxa" w:w="2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Second email noting the invoice is now overdue, requests payment date confirmation</w:t>
            </w:r>
          </w:p>
        </w:tc>
        <w:tc>
          <w:tcPr>
            <w:tcW w:type="dxa" w:w="13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Resolves additional ~20% — now ~70% total</w:t>
            </w:r>
          </w:p>
        </w:tc>
      </w:tr>
      <w:tr>
        <w:tc>
          <w:tcPr>
            <w:tcW w:type="dxa" w:w="20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Step 3 — Formal notice</w:t>
            </w:r>
          </w:p>
        </w:tc>
        <w:tc>
          <w:tcPr>
            <w:tcW w:type="dxa" w:w="17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21–28 days overdue</w:t>
            </w:r>
          </w:p>
        </w:tc>
        <w:tc>
          <w:tcPr>
            <w:tcW w:type="dxa" w:w="17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Formal business tone</w:t>
            </w:r>
          </w:p>
        </w:tc>
        <w:tc>
          <w:tcPr>
            <w:tcW w:type="dxa" w:w="2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Letter referencing Late Payment Act rights. States consequences if unpaid within 7 days.</w:t>
            </w:r>
          </w:p>
        </w:tc>
        <w:tc>
          <w:tcPr>
            <w:tcW w:type="dxa" w:w="13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Resolves additional ~15% — now ~85% total</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Step 4 — Statutory interest claim</w:t>
            </w:r>
          </w:p>
        </w:tc>
        <w:tc>
          <w:tcPr>
            <w:tcW w:type="dxa" w:w="17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45+ days overdue</w:t>
            </w:r>
          </w:p>
        </w:tc>
        <w:tc>
          <w:tcPr>
            <w:tcW w:type="dxa" w:w="17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Legal, precise</w:t>
            </w:r>
          </w:p>
        </w:tc>
        <w:tc>
          <w:tcPr>
            <w:tcW w:type="dxa" w:w="2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Full Late Payment Act claim letter: principal + calculated interest + fixed compensation. Total amount due stated clearly.</w:t>
            </w:r>
          </w:p>
        </w:tc>
        <w:tc>
          <w:tcPr>
            <w:tcW w:type="dxa" w:w="13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Resolves additional ~10% — now ~95% total</w:t>
            </w:r>
          </w:p>
        </w:tc>
      </w:tr>
      <w:tr>
        <w:tc>
          <w:tcPr>
            <w:tcW w:type="dxa" w:w="20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Step 5 — Small Claims guidance</w:t>
            </w:r>
          </w:p>
        </w:tc>
        <w:tc>
          <w:tcPr>
            <w:tcW w:type="dxa" w:w="17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60+ days, no response</w:t>
            </w:r>
          </w:p>
        </w:tc>
        <w:tc>
          <w:tcPr>
            <w:tcW w:type="dxa" w:w="17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Informational</w:t>
            </w:r>
          </w:p>
        </w:tc>
        <w:tc>
          <w:tcPr>
            <w:tcW w:type="dxa" w:w="2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Guidance pack: pre-filled claim form draft, full evidence log, court fee schedule, statutory interest export.</w:t>
            </w:r>
          </w:p>
        </w:tc>
        <w:tc>
          <w:tcPr>
            <w:tcW w:type="dxa" w:w="13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Remaining 5% proceed to court — client handles filing</w:t>
            </w:r>
          </w:p>
        </w:tc>
      </w:tr>
    </w:tbl>
    <w:p>
      <w:pPr>
        <w:spacing w:after="0" w:before="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0F6E56"/>
          <w:sz w:val="28"/>
          <w:szCs w:val="28"/>
        </w:rPr>
        <w:t xml:space="preserve">5.4 Statutory interest engine — the technical core</w:t>
      </w:r>
    </w:p>
    <w:p>
      <w:pPr>
        <w:spacing w:after="120" w:before="0"/>
      </w:pPr>
      <w:r>
        <w:rPr>
          <w:rFonts w:ascii="Arial" w:cs="Arial" w:eastAsia="Arial" w:hAnsi="Arial"/>
          <w:color w:val="1A1A1A"/>
          <w:sz w:val="22"/>
          <w:szCs w:val="22"/>
        </w:rPr>
        <w:t xml:space="preserve">The statutory interest calculation is the heart of PayForce and what no competitor provides. The formula is derived directly from the Late Payment of Commercial Debts (Interest) Act 1998:</w:t>
      </w:r>
    </w:p>
    <w:p>
      <w:pPr>
        <w:spacing w:after="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0F6E56" w:sz="16"/>
              <w:bottom w:val="nil"/>
              <w:right w:val="nil"/>
            </w:tcBorders>
            <w:shd w:fill="E1F5EE" w:val="clear"/>
            <w:tcMar>
              <w:top w:type="dxa" w:w="100"/>
              <w:left w:type="dxa" w:w="200"/>
              <w:bottom w:type="dxa" w:w="100"/>
              <w:right w:type="dxa" w:w="140"/>
            </w:tcMar>
          </w:tcPr>
          <w:p>
            <w:pPr>
              <w:spacing w:after="80" w:before="0"/>
            </w:pPr>
            <w:r>
              <w:rPr>
                <w:rFonts w:ascii="Arial" w:cs="Arial" w:eastAsia="Arial" w:hAnsi="Arial"/>
                <w:color w:val="1A1A1A"/>
                <w:sz w:val="22"/>
                <w:szCs w:val="22"/>
              </w:rPr>
              <w:t xml:space="preserve">Statutory interest rate = 8% + Bank of England base rate (currently 3.75%) = 11.75% per annum</w:t>
            </w:r>
          </w:p>
          <w:p>
            <w:pPr>
              <w:spacing w:after="80" w:before="0"/>
            </w:pPr>
            <w:r>
              <w:rPr>
                <w:rFonts w:ascii="Arial" w:cs="Arial" w:eastAsia="Arial" w:hAnsi="Arial"/>
                <w:color w:val="1A1A1A"/>
                <w:sz w:val="22"/>
                <w:szCs w:val="22"/>
              </w:rPr>
              <w:t xml:space="preserve">Daily rate = (Invoice amount × 11.75%) ÷ 365</w:t>
            </w:r>
          </w:p>
          <w:p>
            <w:pPr>
              <w:spacing w:after="80" w:before="0"/>
            </w:pPr>
            <w:r>
              <w:rPr>
                <w:rFonts w:ascii="Arial" w:cs="Arial" w:eastAsia="Arial" w:hAnsi="Arial"/>
                <w:color w:val="1A1A1A"/>
                <w:sz w:val="22"/>
                <w:szCs w:val="22"/>
              </w:rPr>
              <w:t xml:space="preserve">Total interest = Daily rate × Days overdue</w:t>
            </w:r>
          </w:p>
          <w:p>
            <w:pPr>
              <w:spacing w:after="80" w:before="0"/>
            </w:pPr>
            <w:r>
              <w:rPr>
                <w:rFonts w:ascii="Arial" w:cs="Arial" w:eastAsia="Arial" w:hAnsi="Arial"/>
                <w:color w:val="1A1A1A"/>
                <w:sz w:val="22"/>
                <w:szCs w:val="22"/>
              </w:rPr>
              <w:t xml:space="preserve">Fixed compensation = £40 (invoices under £1,000) / £70 (£1,000–£9,999) / £100 (£10,000+)</w:t>
            </w:r>
          </w:p>
          <w:p>
            <w:pPr>
              <w:spacing w:after="80" w:before="0"/>
            </w:pPr>
            <w:r>
              <w:rPr>
                <w:rFonts w:ascii="Arial" w:cs="Arial" w:eastAsia="Arial" w:hAnsi="Arial"/>
                <w:color w:val="1A1A1A"/>
                <w:sz w:val="22"/>
                <w:szCs w:val="22"/>
              </w:rPr>
              <w:t xml:space="preserve">Total legal claim = Invoice principal + Accrued interest + Fixed compensation</w:t>
            </w:r>
          </w:p>
          <w:p>
            <w:pPr>
              <w:spacing w:after="0" w:before="0"/>
            </w:pPr>
            <w:r>
              <w:rPr>
                <w:rFonts w:ascii="Arial" w:cs="Arial" w:eastAsia="Arial" w:hAnsi="Arial"/>
                <w:color w:val="1A1A1A"/>
                <w:sz w:val="22"/>
                <w:szCs w:val="22"/>
              </w:rPr>
              <w:t xml:space="preserve">Example: £22,000 invoice, 45 days overdue → Interest: £319.11 + Compensation: £100 = £22,419.11 total claim</w:t>
            </w:r>
          </w:p>
        </w:tc>
      </w:tr>
    </w:tbl>
    <w:p>
      <w:pPr>
        <w:spacing w:after="0" w:before="0"/>
      </w:pPr>
      <w:r>
        <w:rPr>
          <w:rFonts w:ascii="Arial" w:cs="Arial" w:eastAsia="Arial" w:hAnsi="Arial"/>
          <w:color w:val="1A1A1A"/>
          <w:sz w:val="22"/>
          <w:szCs w:val="22"/>
        </w:rPr>
        <w:t xml:space="preserve"/>
      </w:r>
    </w:p>
    <w:p>
      <w:pPr>
        <w:spacing w:after="120" w:before="0"/>
      </w:pPr>
      <w:r>
        <w:rPr>
          <w:rFonts w:ascii="Arial" w:cs="Arial" w:eastAsia="Arial" w:hAnsi="Arial"/>
          <w:color w:val="1A1A1A"/>
          <w:sz w:val="22"/>
          <w:szCs w:val="22"/>
        </w:rPr>
        <w:t xml:space="preserve">This engine runs automatically. The client sees a clean dashboard showing exactly what they are owed, updating daily as interest accrues. No spreadsheet. No manual calculation.</w:t>
      </w:r>
    </w:p>
    <w:p>
      <w:pPr>
        <w:spacing w:after="0" w:before="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0F6E56"/>
          <w:sz w:val="28"/>
          <w:szCs w:val="28"/>
        </w:rPr>
        <w:t xml:space="preserve">5.5 Core MVP 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rPr>
          <w:tblHeader/>
        </w:trPr>
        <w:tc>
          <w:tcPr>
            <w:tcW w:type="dxa" w:w="24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Feature</w:t>
            </w:r>
          </w:p>
        </w:tc>
        <w:tc>
          <w:tcPr>
            <w:tcW w:type="dxa" w:w="576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Description</w:t>
            </w:r>
          </w:p>
        </w:tc>
        <w:tc>
          <w:tcPr>
            <w:tcW w:type="dxa" w:w="12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Phase</w:t>
            </w:r>
          </w:p>
        </w:tc>
      </w:tr>
      <w:tr>
        <w:tc>
          <w:tcPr>
            <w:tcW w:type="dxa" w:w="2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Accounting software connection</w:t>
            </w:r>
          </w:p>
        </w:tc>
        <w:tc>
          <w:tcPr>
            <w:tcW w:type="dxa" w:w="57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Xero, QuickBooks, FreeAgent OAuth integration. Invoices sync automatically.</w:t>
            </w:r>
          </w:p>
        </w:tc>
        <w:tc>
          <w:tcPr>
            <w:tcW w:type="dxa" w:w="1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MVP</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Invoice dashboard</w:t>
            </w:r>
          </w:p>
        </w:tc>
        <w:tc>
          <w:tcPr>
            <w:tcW w:type="dxa" w:w="57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Traffic light status: green (upcoming), amber (overdue &lt;30d), red (overdue &gt;30d), purple (legal stage).</w:t>
            </w:r>
          </w:p>
        </w:tc>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MVP</w:t>
            </w:r>
          </w:p>
        </w:tc>
      </w:tr>
      <w:tr>
        <w:tc>
          <w:tcPr>
            <w:tcW w:type="dxa" w:w="2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Automatic escalation sequence</w:t>
            </w:r>
          </w:p>
        </w:tc>
        <w:tc>
          <w:tcPr>
            <w:tcW w:type="dxa" w:w="57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5-step email/letter progression. Client can pause, edit, or skip any step.</w:t>
            </w:r>
          </w:p>
        </w:tc>
        <w:tc>
          <w:tcPr>
            <w:tcW w:type="dxa" w:w="1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MVP</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Statutory interest calculator</w:t>
            </w:r>
          </w:p>
        </w:tc>
        <w:tc>
          <w:tcPr>
            <w:tcW w:type="dxa" w:w="57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Real-time calculation of interest and fixed compensation for every overdue invoice.</w:t>
            </w:r>
          </w:p>
        </w:tc>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MVP</w:t>
            </w:r>
          </w:p>
        </w:tc>
      </w:tr>
      <w:tr>
        <w:tc>
          <w:tcPr>
            <w:tcW w:type="dxa" w:w="2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Legal letter generation</w:t>
            </w:r>
          </w:p>
        </w:tc>
        <w:tc>
          <w:tcPr>
            <w:tcW w:type="dxa" w:w="57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Step 4 and Step 5 documents generated as downloadable .docx files. Client reviews and sends.</w:t>
            </w:r>
          </w:p>
        </w:tc>
        <w:tc>
          <w:tcPr>
            <w:tcW w:type="dxa" w:w="1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MVP</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Audit trail</w:t>
            </w:r>
          </w:p>
        </w:tc>
        <w:tc>
          <w:tcPr>
            <w:tcW w:type="dxa" w:w="57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Full timestamped log of every email sent, letter generated, and payment received. Evidence for court.</w:t>
            </w:r>
          </w:p>
        </w:tc>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MVP</w:t>
            </w:r>
          </w:p>
        </w:tc>
      </w:tr>
      <w:tr>
        <w:tc>
          <w:tcPr>
            <w:tcW w:type="dxa" w:w="2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Success fee tracking</w:t>
            </w:r>
          </w:p>
        </w:tc>
        <w:tc>
          <w:tcPr>
            <w:tcW w:type="dxa" w:w="57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Tracks which invoices were recovered during active PayForce management for success fee calculation.</w:t>
            </w:r>
          </w:p>
        </w:tc>
        <w:tc>
          <w:tcPr>
            <w:tcW w:type="dxa" w:w="1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MVP</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Stripe subscription billing</w:t>
            </w:r>
          </w:p>
        </w:tc>
        <w:tc>
          <w:tcPr>
            <w:tcW w:type="dxa" w:w="57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Monthly subscription billing. Success fee invoiced separately at month end.</w:t>
            </w:r>
          </w:p>
        </w:tc>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MVP</w:t>
            </w:r>
          </w:p>
        </w:tc>
      </w:tr>
      <w:tr>
        <w:tc>
          <w:tcPr>
            <w:tcW w:type="dxa" w:w="2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Free statutory interest calculator</w:t>
            </w:r>
          </w:p>
        </w:tc>
        <w:tc>
          <w:tcPr>
            <w:tcW w:type="dxa" w:w="57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Public-facing web tool (no login required). Drives organic acquisition.</w:t>
            </w:r>
          </w:p>
        </w:tc>
        <w:tc>
          <w:tcPr>
            <w:tcW w:type="dxa" w:w="1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MVP — launch first</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Multi-user access</w:t>
            </w:r>
          </w:p>
        </w:tc>
        <w:tc>
          <w:tcPr>
            <w:tcW w:type="dxa" w:w="57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Multiple team members can view and manage invoices.</w:t>
            </w:r>
          </w:p>
        </w:tc>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Phase 2</w:t>
            </w:r>
          </w:p>
        </w:tc>
      </w:tr>
      <w:tr>
        <w:tc>
          <w:tcPr>
            <w:tcW w:type="dxa" w:w="2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SMS reminders</w:t>
            </w:r>
          </w:p>
        </w:tc>
        <w:tc>
          <w:tcPr>
            <w:tcW w:type="dxa" w:w="57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Text message reminders in addition to email.</w:t>
            </w:r>
          </w:p>
        </w:tc>
        <w:tc>
          <w:tcPr>
            <w:tcW w:type="dxa" w:w="1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Phase 2</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Credit risk scoring</w:t>
            </w:r>
          </w:p>
        </w:tc>
        <w:tc>
          <w:tcPr>
            <w:tcW w:type="dxa" w:w="57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Pre-invoice credit check on new clients.</w:t>
            </w:r>
          </w:p>
        </w:tc>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Phase 2</w:t>
            </w:r>
          </w:p>
        </w:tc>
      </w:tr>
      <w:tr>
        <w:tc>
          <w:tcPr>
            <w:tcW w:type="dxa" w:w="2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Invoice financing referral</w:t>
            </w:r>
          </w:p>
        </w:tc>
        <w:tc>
          <w:tcPr>
            <w:tcW w:type="dxa" w:w="57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Partner with iwoca or Satago to offer cash advances on unpaid invoices.</w:t>
            </w:r>
          </w:p>
        </w:tc>
        <w:tc>
          <w:tcPr>
            <w:tcW w:type="dxa" w:w="1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Phase 2</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Accountant white-label</w:t>
            </w:r>
          </w:p>
        </w:tc>
        <w:tc>
          <w:tcPr>
            <w:tcW w:type="dxa" w:w="57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Partner accountants manage multiple SME clients from a single dashboard.</w:t>
            </w:r>
          </w:p>
        </w:tc>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Phase 2</w:t>
            </w:r>
          </w:p>
        </w:tc>
      </w:tr>
      <w:tr>
        <w:tc>
          <w:tcPr>
            <w:tcW w:type="dxa" w:w="2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Mobile app</w:t>
            </w:r>
          </w:p>
        </w:tc>
        <w:tc>
          <w:tcPr>
            <w:tcW w:type="dxa" w:w="57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iOS/Android alerts for payment notifications.</w:t>
            </w:r>
          </w:p>
        </w:tc>
        <w:tc>
          <w:tcPr>
            <w:tcW w:type="dxa" w:w="1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Phase 2</w:t>
            </w:r>
          </w:p>
        </w:tc>
      </w:tr>
    </w:tbl>
    <w:p>
      <w:r>
        <w:br/>
      </w:r>
    </w:p>
    <w:p>
      <w:pPr>
        <w:pStyle w:val="Heading1"/>
        <w:pBdr>
          <w:bottom w:val="single" w:color="0F6E56" w:sz="8" w:space="4"/>
        </w:pBdr>
        <w:spacing w:after="160" w:before="360"/>
      </w:pPr>
      <w:r>
        <w:rPr>
          <w:rFonts w:ascii="Arial" w:cs="Arial" w:eastAsia="Arial" w:hAnsi="Arial"/>
          <w:b/>
          <w:bCs/>
          <w:color w:val="1B3A6B"/>
          <w:sz w:val="36"/>
          <w:szCs w:val="36"/>
        </w:rPr>
        <w:t xml:space="preserve">6. Target Customers</w:t>
      </w:r>
    </w:p>
    <w:p>
      <w:pPr>
        <w:pStyle w:val="Heading2"/>
        <w:spacing w:after="120" w:before="240"/>
      </w:pPr>
      <w:r>
        <w:rPr>
          <w:rFonts w:ascii="Arial" w:cs="Arial" w:eastAsia="Arial" w:hAnsi="Arial"/>
          <w:b/>
          <w:bCs/>
          <w:color w:val="0F6E56"/>
          <w:sz w:val="28"/>
          <w:szCs w:val="28"/>
        </w:rPr>
        <w:t xml:space="preserve">6.1 Primary customer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400"/>
        <w:gridCol w:w="3260"/>
      </w:tblGrid>
      <w:tr>
        <w:trPr>
          <w:tblHeader/>
        </w:trPr>
        <w:tc>
          <w:tcPr>
            <w:tcW w:type="dxa" w:w="18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Customer type</w:t>
            </w:r>
          </w:p>
        </w:tc>
        <w:tc>
          <w:tcPr>
            <w:tcW w:type="dxa" w:w="19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Who they are</w:t>
            </w:r>
          </w:p>
        </w:tc>
        <w:tc>
          <w:tcPr>
            <w:tcW w:type="dxa" w:w="24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Their pain</w:t>
            </w:r>
          </w:p>
        </w:tc>
        <w:tc>
          <w:tcPr>
            <w:tcW w:type="dxa" w:w="326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Why PayForce</w:t>
            </w:r>
          </w:p>
        </w:tc>
      </w:tr>
      <w:tr>
        <w:tc>
          <w:tcPr>
            <w:tcW w:type="dxa" w:w="18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Construction SME</w:t>
            </w:r>
          </w:p>
        </w:tc>
        <w:tc>
          <w:tcPr>
            <w:tcW w:type="dxa" w:w="19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Builder, electrician, plumber — 5–50 employees. Uses subcontractors and invoices main contractors.</w:t>
            </w:r>
          </w:p>
        </w:tc>
        <w:tc>
          <w:tcPr>
            <w:tcW w:type="dxa" w:w="2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Main contractors pay 60–90 days late as standard. No leverage to demand faster. Cash flow is permanently strained.</w:t>
            </w:r>
          </w:p>
        </w:tc>
        <w:tc>
          <w:tcPr>
            <w:tcW w:type="dxa" w:w="32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A £50,000 invoice at 45 days overdue = £319 statutory interest automatically calculated. Legal letter sent professionally — relationship preserved.</w:t>
            </w:r>
          </w:p>
        </w:tc>
      </w:tr>
      <w:tr>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Marketing/Creative Agency</w:t>
            </w:r>
          </w:p>
        </w:tc>
        <w:tc>
          <w:tcPr>
            <w:tcW w:type="dxa" w:w="19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Small digital agency, designer, copywriter, videographer. Project-based billing.</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Client receives the project, goes quiet. Polite emails get "we'll sort it soon." 3 months later, still nothing.</w:t>
            </w:r>
          </w:p>
        </w:tc>
        <w:tc>
          <w:tcPr>
            <w:tcW w:type="dxa" w:w="32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The formal notice (Step 3) with Late Payment Act reference typically forces payment within days. Client did not know they had this right.</w:t>
            </w:r>
          </w:p>
        </w:tc>
      </w:tr>
      <w:tr>
        <w:tc>
          <w:tcPr>
            <w:tcW w:type="dxa" w:w="18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Recruitment Agency</w:t>
            </w:r>
          </w:p>
        </w:tc>
        <w:tc>
          <w:tcPr>
            <w:tcW w:type="dxa" w:w="19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IT, medical, engineering recruiter. Pays placed candidates before receiving client payment.</w:t>
            </w:r>
          </w:p>
        </w:tc>
        <w:tc>
          <w:tcPr>
            <w:tcW w:type="dxa" w:w="2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Gap between paying candidates and receiving client invoice creates a financing gap. Even 15 days faster payment = significant cash flow improvement.</w:t>
            </w:r>
          </w:p>
        </w:tc>
        <w:tc>
          <w:tcPr>
            <w:tcW w:type="dxa" w:w="32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Step 1 and 2 automation alone reduces average payment time by 15+ days (Chaser benchmark). No manual chasing time.</w:t>
            </w:r>
          </w:p>
        </w:tc>
      </w:tr>
      <w:tr>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Professional Services</w:t>
            </w:r>
          </w:p>
        </w:tc>
        <w:tc>
          <w:tcPr>
            <w:tcW w:type="dxa" w:w="19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Solicitor, consultant, accountant — small firm. Bills by the hour or project.</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Clients dispute invoices to delay payment. Time spent chasing is time not earning. Some debts written off to preserve relationships.</w:t>
            </w:r>
          </w:p>
        </w:tc>
        <w:tc>
          <w:tcPr>
            <w:tcW w:type="dxa" w:w="32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Automated escalation handles the awkward part. The professional, firm tone of Steps 3 and 4 is more effective than a personal email from a frustrated invoice sender.</w:t>
            </w:r>
          </w:p>
        </w:tc>
      </w:tr>
      <w:tr>
        <w:tc>
          <w:tcPr>
            <w:tcW w:type="dxa" w:w="18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IT Freelancer/Contractor</w:t>
            </w:r>
          </w:p>
        </w:tc>
        <w:tc>
          <w:tcPr>
            <w:tcW w:type="dxa" w:w="19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UK-based developer, DevOps engineer, data analyst. Invoices UK and US clients.</w:t>
            </w:r>
          </w:p>
        </w:tc>
        <w:tc>
          <w:tcPr>
            <w:tcW w:type="dxa" w:w="2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US clients pay in dollars — pound strengthening reduces effective income. UK clients are also slow payers. Every invoice day matters.</w:t>
            </w:r>
          </w:p>
        </w:tc>
        <w:tc>
          <w:tcPr>
            <w:tcW w:type="dxa" w:w="32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£19/month for a tool that gets invoices paid 30+ days faster is an obvious ROI for someone billing £500–£1,000/day.</w:t>
            </w:r>
          </w:p>
        </w:tc>
      </w:tr>
    </w:tbl>
    <w:p>
      <w:pPr>
        <w:spacing w:after="0" w:before="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0F6E56"/>
          <w:sz w:val="28"/>
          <w:szCs w:val="28"/>
        </w:rPr>
        <w:t xml:space="preserve">6.2 Why customers pay — the buying psychology</w:t>
      </w:r>
    </w:p>
    <w:p>
      <w:pPr>
        <w:spacing w:after="120" w:before="0"/>
      </w:pPr>
      <w:r>
        <w:rPr>
          <w:rFonts w:ascii="Arial" w:cs="Arial" w:eastAsia="Arial" w:hAnsi="Arial"/>
          <w:color w:val="1A1A1A"/>
          <w:sz w:val="22"/>
          <w:szCs w:val="22"/>
        </w:rPr>
        <w:t xml:space="preserve">There are three distinct emotional triggers that drive PayForce purchase decisions:</w:t>
      </w:r>
    </w:p>
    <w:p>
      <w:pPr>
        <w:spacing w:after="0" w:before="0"/>
      </w:pPr>
      <w:r>
        <w:rPr>
          <w:rFonts w:ascii="Arial" w:cs="Arial" w:eastAsia="Arial" w:hAnsi="Arial"/>
          <w:color w:val="1A1A1A"/>
          <w:sz w:val="22"/>
          <w:szCs w:val="22"/>
        </w:rPr>
        <w:t xml:space="preserve"/>
      </w:r>
    </w:p>
    <w:p>
      <w:pPr>
        <w:pStyle w:val="ListParagraph"/>
        <w:numPr>
          <w:ilvl w:val="0"/>
          <w:numId w:val="2"/>
        </w:numPr>
        <w:spacing w:after="80" w:before="0"/>
      </w:pPr>
      <w:r>
        <w:rPr>
          <w:rFonts w:ascii="Arial" w:cs="Arial" w:eastAsia="Arial" w:hAnsi="Arial"/>
          <w:b/>
          <w:bCs/>
          <w:color w:val="1A1A1A"/>
          <w:sz w:val="22"/>
          <w:szCs w:val="22"/>
        </w:rPr>
        <w:t xml:space="preserve">Fear of loss (strongest trigger): </w:t>
      </w:r>
      <w:r>
        <w:rPr>
          <w:rFonts w:ascii="Arial" w:cs="Arial" w:eastAsia="Arial" w:hAnsi="Arial"/>
          <w:color w:val="1A1A1A"/>
          <w:sz w:val="22"/>
          <w:szCs w:val="22"/>
        </w:rPr>
        <w:t xml:space="preserve">The realisation that £38,000 in outstanding invoices could partially not arrive is existential. 20% of that — £7,600 — could mean being unable to pay salaries. PayForce converts anxiety into control.</w:t>
      </w:r>
    </w:p>
    <w:p>
      <w:pPr>
        <w:pStyle w:val="ListParagraph"/>
        <w:numPr>
          <w:ilvl w:val="0"/>
          <w:numId w:val="2"/>
        </w:numPr>
        <w:spacing w:after="80" w:before="0"/>
      </w:pPr>
      <w:r>
        <w:rPr>
          <w:rFonts w:ascii="Arial" w:cs="Arial" w:eastAsia="Arial" w:hAnsi="Arial"/>
          <w:b/>
          <w:bCs/>
          <w:color w:val="1A1A1A"/>
          <w:sz w:val="22"/>
          <w:szCs w:val="22"/>
        </w:rPr>
        <w:t xml:space="preserve">Anger at unfairness: </w:t>
      </w:r>
      <w:r>
        <w:rPr>
          <w:rFonts w:ascii="Arial" w:cs="Arial" w:eastAsia="Arial" w:hAnsi="Arial"/>
          <w:color w:val="1A1A1A"/>
          <w:sz w:val="22"/>
          <w:szCs w:val="22"/>
        </w:rPr>
        <w:t xml:space="preserve">A large company with 250 employees paying a 3-person agency after 90 days is perceived as bullying. PayForce gives the small business a professional, legal tool to push back — without confrontation or aggression.</w:t>
      </w:r>
    </w:p>
    <w:p>
      <w:pPr>
        <w:pStyle w:val="ListParagraph"/>
        <w:numPr>
          <w:ilvl w:val="0"/>
          <w:numId w:val="2"/>
        </w:numPr>
        <w:spacing w:after="80" w:before="0"/>
      </w:pPr>
      <w:r>
        <w:rPr>
          <w:rFonts w:ascii="Arial" w:cs="Arial" w:eastAsia="Arial" w:hAnsi="Arial"/>
          <w:b/>
          <w:bCs/>
          <w:color w:val="1A1A1A"/>
          <w:sz w:val="22"/>
          <w:szCs w:val="22"/>
        </w:rPr>
        <w:t xml:space="preserve">ROI clarity: </w:t>
      </w:r>
      <w:r>
        <w:rPr>
          <w:rFonts w:ascii="Arial" w:cs="Arial" w:eastAsia="Arial" w:hAnsi="Arial"/>
          <w:color w:val="1A1A1A"/>
          <w:sz w:val="22"/>
          <w:szCs w:val="22"/>
        </w:rPr>
        <w:t xml:space="preserve">PayForce costs £19–£79/month. One invoice recovered 20 days faster generates cash flow worth hundreds of pounds in avoided overdraft or factoring costs. The ROI is immediately obvious.</w:t>
      </w:r>
    </w:p>
    <w:p>
      <w:pPr>
        <w:spacing w:after="0" w:before="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0F6E56"/>
          <w:sz w:val="28"/>
          <w:szCs w:val="28"/>
        </w:rPr>
        <w:t xml:space="preserve">6.3 The Chaser user as the warmest prospect</w:t>
      </w:r>
    </w:p>
    <w:p>
      <w:pPr>
        <w:spacing w:after="120" w:before="0"/>
      </w:pPr>
      <w:r>
        <w:rPr>
          <w:rFonts w:ascii="Arial" w:cs="Arial" w:eastAsia="Arial" w:hAnsi="Arial"/>
          <w:color w:val="1A1A1A"/>
          <w:sz w:val="22"/>
          <w:szCs w:val="22"/>
        </w:rPr>
        <w:t xml:space="preserve">A Chaser user at £75–£150/month already understands the value of automated invoice chasing. They are already spending money on this category. The subset of Chaser users who have experienced a Step 4 situation — a debtor who ignored multiple reminder emails — will immediately understand why PayForce exists. Marketing message: "Already using Chaser? PayForce picks up where Chaser stops."</w:t>
      </w:r>
    </w:p>
    <w:p>
      <w:r>
        <w:br/>
      </w:r>
    </w:p>
    <w:p>
      <w:pPr>
        <w:pStyle w:val="Heading1"/>
        <w:pBdr>
          <w:bottom w:val="single" w:color="0F6E56" w:sz="8" w:space="4"/>
        </w:pBdr>
        <w:spacing w:after="160" w:before="360"/>
      </w:pPr>
      <w:r>
        <w:rPr>
          <w:rFonts w:ascii="Arial" w:cs="Arial" w:eastAsia="Arial" w:hAnsi="Arial"/>
          <w:b/>
          <w:bCs/>
          <w:color w:val="1B3A6B"/>
          <w:sz w:val="36"/>
          <w:szCs w:val="36"/>
        </w:rPr>
        <w:t xml:space="preserve">7. Revenue Model &amp; Pricing</w:t>
      </w:r>
    </w:p>
    <w:p>
      <w:pPr>
        <w:pStyle w:val="Heading2"/>
        <w:spacing w:after="120" w:before="240"/>
      </w:pPr>
      <w:r>
        <w:rPr>
          <w:rFonts w:ascii="Arial" w:cs="Arial" w:eastAsia="Arial" w:hAnsi="Arial"/>
          <w:b/>
          <w:bCs/>
          <w:color w:val="0F6E56"/>
          <w:sz w:val="28"/>
          <w:szCs w:val="28"/>
        </w:rPr>
        <w:t xml:space="preserve">7.1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1600"/>
        <w:gridCol w:w="2560"/>
      </w:tblGrid>
      <w:tr>
        <w:trPr>
          <w:tblHeader/>
        </w:trPr>
        <w:tc>
          <w:tcPr>
            <w:tcW w:type="dxa" w:w="14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Tier</w:t>
            </w:r>
          </w:p>
        </w:tc>
        <w:tc>
          <w:tcPr>
            <w:tcW w:type="dxa" w:w="22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Target</w:t>
            </w:r>
          </w:p>
        </w:tc>
        <w:tc>
          <w:tcPr>
            <w:tcW w:type="dxa" w:w="16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Monthly price</w:t>
            </w:r>
          </w:p>
        </w:tc>
        <w:tc>
          <w:tcPr>
            <w:tcW w:type="dxa" w:w="16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Annual price</w:t>
            </w:r>
          </w:p>
        </w:tc>
        <w:tc>
          <w:tcPr>
            <w:tcW w:type="dxa" w:w="256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Included</w:t>
            </w:r>
          </w:p>
        </w:tc>
      </w:tr>
      <w:tr>
        <w:tc>
          <w:tcPr>
            <w:tcW w:type="dxa" w:w="1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Starter</w:t>
            </w:r>
          </w:p>
        </w:tc>
        <w:tc>
          <w:tcPr>
            <w:tcW w:type="dxa" w:w="2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Freelancers / 1–5 employee businesses</w:t>
            </w:r>
          </w:p>
        </w:tc>
        <w:tc>
          <w:tcPr>
            <w:tcW w:type="dxa" w:w="1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£19/month</w:t>
            </w:r>
          </w:p>
        </w:tc>
        <w:tc>
          <w:tcPr>
            <w:tcW w:type="dxa" w:w="1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£190/year (2 months free)</w:t>
            </w:r>
          </w:p>
        </w:tc>
        <w:tc>
          <w:tcPr>
            <w:tcW w:type="dxa" w:w="25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5 active debtors, email reminders only, statutory interest calculator, basic audit trail</w:t>
            </w:r>
          </w:p>
        </w:tc>
      </w:tr>
      <w:tr>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Growth</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SMEs 6–50 employees</w:t>
            </w:r>
          </w:p>
        </w:tc>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£49/month</w:t>
            </w:r>
          </w:p>
        </w:tc>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£490/year</w:t>
            </w:r>
          </w:p>
        </w:tc>
        <w:tc>
          <w:tcPr>
            <w:tcW w:type="dxa" w:w="25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25 active debtors, all 5 escalation steps, legal letter generation, Xero/QuickBooks/FreeAgent integration, full audit trail</w:t>
            </w:r>
          </w:p>
        </w:tc>
      </w:tr>
      <w:tr>
        <w:tc>
          <w:tcPr>
            <w:tcW w:type="dxa" w:w="1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Professional</w:t>
            </w:r>
          </w:p>
        </w:tc>
        <w:tc>
          <w:tcPr>
            <w:tcW w:type="dxa" w:w="2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SMEs 51–250 employees</w:t>
            </w:r>
          </w:p>
        </w:tc>
        <w:tc>
          <w:tcPr>
            <w:tcW w:type="dxa" w:w="1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£79/month</w:t>
            </w:r>
          </w:p>
        </w:tc>
        <w:tc>
          <w:tcPr>
            <w:tcW w:type="dxa" w:w="1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£790/year</w:t>
            </w:r>
          </w:p>
        </w:tc>
        <w:tc>
          <w:tcPr>
            <w:tcW w:type="dxa" w:w="25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Unlimited debtors, priority support, multi-user access, custom email templates, early access to Phase 2 features</w:t>
            </w:r>
          </w:p>
        </w:tc>
      </w:tr>
      <w:tr>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Success fee</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All tiers</w:t>
            </w:r>
          </w:p>
        </w:tc>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1–2% of recovered amount</w:t>
            </w:r>
          </w:p>
        </w:tc>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Applied at month end</w:t>
            </w:r>
          </w:p>
        </w:tc>
        <w:tc>
          <w:tcPr>
            <w:tcW w:type="dxa" w:w="25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Charged only when invoice marked as paid during active PayForce management. Client pays nothing extra if recovery fails.</w:t>
            </w:r>
          </w:p>
        </w:tc>
      </w:tr>
    </w:tbl>
    <w:p>
      <w:pPr>
        <w:spacing w:after="0" w:before="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0F6E56"/>
          <w:sz w:val="28"/>
          <w:szCs w:val="28"/>
        </w:rPr>
        <w:t xml:space="preserve">7.2 The success fee model — why it is the most important pricing decision</w:t>
      </w:r>
    </w:p>
    <w:p>
      <w:pPr>
        <w:spacing w:after="120" w:before="0"/>
      </w:pPr>
      <w:r>
        <w:rPr>
          <w:rFonts w:ascii="Arial" w:cs="Arial" w:eastAsia="Arial" w:hAnsi="Arial"/>
          <w:color w:val="1A1A1A"/>
          <w:sz w:val="22"/>
          <w:szCs w:val="22"/>
        </w:rPr>
        <w:t xml:space="preserve">The 1–2% success fee is not just a revenue stream. It is a marketing and conversion tool. It creates perfect incentive alignment: PayForce only earns more when the client earns more. This turns the sales conversation from "convince me this works" into "I have nothing to lose."</w:t>
      </w:r>
    </w:p>
    <w:p>
      <w:pPr>
        <w:spacing w:after="0" w:before="0"/>
      </w:pPr>
      <w:r>
        <w:rPr>
          <w:rFonts w:ascii="Arial" w:cs="Arial" w:eastAsia="Arial" w:hAnsi="Arial"/>
          <w:color w:val="1A1A1A"/>
          <w:sz w:val="22"/>
          <w:szCs w:val="22"/>
        </w:rPr>
        <w:t xml:space="preserve"/>
      </w:r>
    </w:p>
    <w:p>
      <w:pPr>
        <w:spacing w:after="120" w:before="0"/>
      </w:pPr>
      <w:r>
        <w:rPr>
          <w:rFonts w:ascii="Arial" w:cs="Arial" w:eastAsia="Arial" w:hAnsi="Arial"/>
          <w:color w:val="1A1A1A"/>
          <w:sz w:val="22"/>
          <w:szCs w:val="22"/>
        </w:rPr>
        <w:t xml:space="preserve">Revenue illustration: 100 clients at average £49/month = £4,900 MRR (subscription base). If each client recovers one £10,000 invoice per month through PayForce, the success fee at 1.5% = £150 per client per month = £15,000 additional MRR. Total: £19,900 MRR from 100 clients.</w:t>
      </w:r>
    </w:p>
    <w:p>
      <w:pPr>
        <w:spacing w:after="0" w:before="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0F6E56"/>
          <w:sz w:val="28"/>
          <w:szCs w:val="28"/>
        </w:rPr>
        <w:t xml:space="preserve">7.3 Three revenue streams — the full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600"/>
        <w:gridCol w:w="1360"/>
      </w:tblGrid>
      <w:tr>
        <w:trPr>
          <w:tblHeader/>
        </w:trPr>
        <w:tc>
          <w:tcPr>
            <w:tcW w:type="dxa" w:w="24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Revenue stream</w:t>
            </w:r>
          </w:p>
        </w:tc>
        <w:tc>
          <w:tcPr>
            <w:tcW w:type="dxa" w:w="30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How it works</w:t>
            </w:r>
          </w:p>
        </w:tc>
        <w:tc>
          <w:tcPr>
            <w:tcW w:type="dxa" w:w="26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Example</w:t>
            </w:r>
          </w:p>
        </w:tc>
        <w:tc>
          <w:tcPr>
            <w:tcW w:type="dxa" w:w="136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Churn risk</w:t>
            </w:r>
          </w:p>
        </w:tc>
      </w:tr>
      <w:tr>
        <w:tc>
          <w:tcPr>
            <w:tcW w:type="dxa" w:w="2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Monthly subscription</w:t>
            </w:r>
          </w:p>
        </w:tc>
        <w:tc>
          <w:tcPr>
            <w:tcW w:type="dxa" w:w="30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Flat fee, auto-renewing. Client pays regardless of recovery activity.</w:t>
            </w:r>
          </w:p>
        </w:tc>
        <w:tc>
          <w:tcPr>
            <w:tcW w:type="dxa" w:w="2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100 clients × £49 = £4,900/month recurring base</w:t>
            </w:r>
          </w:p>
        </w:tc>
        <w:tc>
          <w:tcPr>
            <w:tcW w:type="dxa" w:w="13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Medium — SMEs can cancel if no active debtors</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Success fee (performance)</w:t>
            </w:r>
          </w:p>
        </w:tc>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1–2% of invoice value when PayForce assists in recovery. Invoiced at month end.</w:t>
            </w:r>
          </w:p>
        </w:tc>
        <w:tc>
          <w:tcPr>
            <w:tcW w:type="dxa" w:w="2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Client recovers £50,000 invoice → PayForce earns £500–£1,000 that month</w:t>
            </w:r>
          </w:p>
        </w:tc>
        <w:tc>
          <w:tcPr>
            <w:tcW w:type="dxa" w:w="13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Very low — only charged on success</w:t>
            </w:r>
          </w:p>
        </w:tc>
      </w:tr>
      <w:tr>
        <w:tc>
          <w:tcPr>
            <w:tcW w:type="dxa" w:w="2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Invoice finance referral (Phase 2)</w:t>
            </w:r>
          </w:p>
        </w:tc>
        <w:tc>
          <w:tcPr>
            <w:tcW w:type="dxa" w:w="30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Referral fee from iwoca/Satago when client uses invoice finance through PayForce.</w:t>
            </w:r>
          </w:p>
        </w:tc>
        <w:tc>
          <w:tcPr>
            <w:tcW w:type="dxa" w:w="2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Client advances £20,000 against unpaid invoice → PayForce earns 0.5–1% referral = £100–£200</w:t>
            </w:r>
          </w:p>
        </w:tc>
        <w:tc>
          <w:tcPr>
            <w:tcW w:type="dxa" w:w="13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Zero — pure passive income</w:t>
            </w:r>
          </w:p>
        </w:tc>
      </w:tr>
    </w:tbl>
    <w:p>
      <w:pPr>
        <w:spacing w:after="0" w:before="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0F6E56"/>
          <w:sz w:val="28"/>
          <w:szCs w:val="28"/>
        </w:rPr>
        <w:t xml:space="preserve">7.4 Revenue projections — conservative path</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2300"/>
        <w:gridCol w:w="2460"/>
        <w:gridCol w:w="1600"/>
      </w:tblGrid>
      <w:tr>
        <w:trPr>
          <w:tblHeader/>
        </w:trPr>
        <w:tc>
          <w:tcPr>
            <w:tcW w:type="dxa" w:w="22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Milestone</w:t>
            </w:r>
          </w:p>
        </w:tc>
        <w:tc>
          <w:tcPr>
            <w:tcW w:type="dxa" w:w="14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Timeline</w:t>
            </w:r>
          </w:p>
        </w:tc>
        <w:tc>
          <w:tcPr>
            <w:tcW w:type="dxa" w:w="14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Clients</w:t>
            </w:r>
          </w:p>
        </w:tc>
        <w:tc>
          <w:tcPr>
            <w:tcW w:type="dxa" w:w="23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MRR (subscription)</w:t>
            </w:r>
          </w:p>
        </w:tc>
        <w:tc>
          <w:tcPr>
            <w:tcW w:type="dxa" w:w="246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MRR (success fee est.)</w:t>
            </w:r>
          </w:p>
        </w:tc>
        <w:tc>
          <w:tcPr>
            <w:tcW w:type="dxa" w:w="16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Total MRR</w:t>
            </w:r>
          </w:p>
        </w:tc>
      </w:tr>
      <w:tr>
        <w:tc>
          <w:tcPr>
            <w:tcW w:type="dxa" w:w="2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Soft launch</w:t>
            </w:r>
          </w:p>
        </w:tc>
        <w:tc>
          <w:tcPr>
            <w:tcW w:type="dxa" w:w="1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Month 3</w:t>
            </w:r>
          </w:p>
        </w:tc>
        <w:tc>
          <w:tcPr>
            <w:tcW w:type="dxa" w:w="1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20 clients</w:t>
            </w:r>
          </w:p>
        </w:tc>
        <w:tc>
          <w:tcPr>
            <w:tcW w:type="dxa" w:w="23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£980</w:t>
            </w:r>
          </w:p>
        </w:tc>
        <w:tc>
          <w:tcPr>
            <w:tcW w:type="dxa" w:w="24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£2,000 (est.)</w:t>
            </w:r>
          </w:p>
        </w:tc>
        <w:tc>
          <w:tcPr>
            <w:tcW w:type="dxa" w:w="1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£2,980</w:t>
            </w:r>
          </w:p>
        </w:tc>
      </w:tr>
      <w:tr>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First growth stage</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Month 6</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80 clients</w:t>
            </w:r>
          </w:p>
        </w:tc>
        <w:tc>
          <w:tcPr>
            <w:tcW w:type="dxa" w:w="23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£3,920</w:t>
            </w:r>
          </w:p>
        </w:tc>
        <w:tc>
          <w:tcPr>
            <w:tcW w:type="dxa" w:w="24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£6,000 (est.)</w:t>
            </w:r>
          </w:p>
        </w:tc>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£9,920</w:t>
            </w:r>
          </w:p>
        </w:tc>
      </w:tr>
      <w:tr>
        <w:tc>
          <w:tcPr>
            <w:tcW w:type="dxa" w:w="2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Scale stage</w:t>
            </w:r>
          </w:p>
        </w:tc>
        <w:tc>
          <w:tcPr>
            <w:tcW w:type="dxa" w:w="1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Month 9</w:t>
            </w:r>
          </w:p>
        </w:tc>
        <w:tc>
          <w:tcPr>
            <w:tcW w:type="dxa" w:w="1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200 clients</w:t>
            </w:r>
          </w:p>
        </w:tc>
        <w:tc>
          <w:tcPr>
            <w:tcW w:type="dxa" w:w="23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£9,800</w:t>
            </w:r>
          </w:p>
        </w:tc>
        <w:tc>
          <w:tcPr>
            <w:tcW w:type="dxa" w:w="24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£12,000 (est.)</w:t>
            </w:r>
          </w:p>
        </w:tc>
        <w:tc>
          <w:tcPr>
            <w:tcW w:type="dxa" w:w="1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£21,800</w:t>
            </w:r>
          </w:p>
        </w:tc>
      </w:tr>
      <w:tr>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Year 1 end</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Month 12</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400 clients</w:t>
            </w:r>
          </w:p>
        </w:tc>
        <w:tc>
          <w:tcPr>
            <w:tcW w:type="dxa" w:w="23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£19,600</w:t>
            </w:r>
          </w:p>
        </w:tc>
        <w:tc>
          <w:tcPr>
            <w:tcW w:type="dxa" w:w="24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£20,000 (est.)</w:t>
            </w:r>
          </w:p>
        </w:tc>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£39,600</w:t>
            </w:r>
          </w:p>
        </w:tc>
      </w:tr>
      <w:tr>
        <w:tc>
          <w:tcPr>
            <w:tcW w:type="dxa" w:w="2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Year 2 end</w:t>
            </w:r>
          </w:p>
        </w:tc>
        <w:tc>
          <w:tcPr>
            <w:tcW w:type="dxa" w:w="1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Month 24</w:t>
            </w:r>
          </w:p>
        </w:tc>
        <w:tc>
          <w:tcPr>
            <w:tcW w:type="dxa" w:w="1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1,000 clients</w:t>
            </w:r>
          </w:p>
        </w:tc>
        <w:tc>
          <w:tcPr>
            <w:tcW w:type="dxa" w:w="23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£49,000</w:t>
            </w:r>
          </w:p>
        </w:tc>
        <w:tc>
          <w:tcPr>
            <w:tcW w:type="dxa" w:w="24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£45,000 (est.)</w:t>
            </w:r>
          </w:p>
        </w:tc>
        <w:tc>
          <w:tcPr>
            <w:tcW w:type="dxa" w:w="1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£94,000</w:t>
            </w:r>
          </w:p>
        </w:tc>
      </w:tr>
    </w:tbl>
    <w:p>
      <w:r>
        <w:br/>
      </w:r>
    </w:p>
    <w:p>
      <w:pPr>
        <w:pStyle w:val="Heading1"/>
        <w:pBdr>
          <w:bottom w:val="single" w:color="0F6E56" w:sz="8" w:space="4"/>
        </w:pBdr>
        <w:spacing w:after="160" w:before="360"/>
      </w:pPr>
      <w:r>
        <w:rPr>
          <w:rFonts w:ascii="Arial" w:cs="Arial" w:eastAsia="Arial" w:hAnsi="Arial"/>
          <w:b/>
          <w:bCs/>
          <w:color w:val="1B3A6B"/>
          <w:sz w:val="36"/>
          <w:szCs w:val="36"/>
        </w:rPr>
        <w:t xml:space="preserve">8. Client Experience &amp; Workflow</w:t>
      </w:r>
    </w:p>
    <w:p>
      <w:pPr>
        <w:pStyle w:val="Heading2"/>
        <w:spacing w:after="120" w:before="240"/>
      </w:pPr>
      <w:r>
        <w:rPr>
          <w:rFonts w:ascii="Arial" w:cs="Arial" w:eastAsia="Arial" w:hAnsi="Arial"/>
          <w:b/>
          <w:bCs/>
          <w:color w:val="0F6E56"/>
          <w:sz w:val="28"/>
          <w:szCs w:val="28"/>
        </w:rPr>
        <w:t xml:space="preserve">8.1 The seven-step client journey</w:t>
      </w:r>
    </w:p>
    <w:p>
      <w:pPr>
        <w:spacing w:after="120" w:before="0"/>
      </w:pPr>
      <w:r>
        <w:rPr>
          <w:rFonts w:ascii="Arial" w:cs="Arial" w:eastAsia="Arial" w:hAnsi="Arial"/>
          <w:color w:val="1A1A1A"/>
          <w:sz w:val="22"/>
          <w:szCs w:val="22"/>
        </w:rPr>
        <w:t xml:space="preserve">PayForce is designed so that after a 2-minute setup, the client does almost nothing. The system escalates automatically. The only moments the client is active are: initial setup, and approving the Step 4 legal letter before it is sent.</w:t>
      </w:r>
    </w:p>
    <w:p>
      <w:pPr>
        <w:spacing w:after="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4200"/>
        <w:gridCol w:w="1560"/>
      </w:tblGrid>
      <w:tr>
        <w:trPr>
          <w:tblHeader/>
        </w:trPr>
        <w:tc>
          <w:tcPr>
            <w:tcW w:type="dxa" w:w="19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Step</w:t>
            </w:r>
          </w:p>
        </w:tc>
        <w:tc>
          <w:tcPr>
            <w:tcW w:type="dxa" w:w="17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Actor</w:t>
            </w:r>
          </w:p>
        </w:tc>
        <w:tc>
          <w:tcPr>
            <w:tcW w:type="dxa" w:w="42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What happens</w:t>
            </w:r>
          </w:p>
        </w:tc>
        <w:tc>
          <w:tcPr>
            <w:tcW w:type="dxa" w:w="156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Client time</w:t>
            </w:r>
          </w:p>
        </w:tc>
      </w:tr>
      <w:tr>
        <w:tc>
          <w:tcPr>
            <w:tcW w:type="dxa" w:w="19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1. Sign up &amp; connect accounting software</w:t>
            </w:r>
          </w:p>
        </w:tc>
        <w:tc>
          <w:tcPr>
            <w:tcW w:type="dxa" w:w="17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Client (one-time)</w:t>
            </w:r>
          </w:p>
        </w:tc>
        <w:tc>
          <w:tcPr>
            <w:tcW w:type="dxa" w:w="4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OAuth connection to Xero/QuickBooks/FreeAgent. All outstanding invoices imported automatically. Payment terms configured once.</w:t>
            </w:r>
          </w:p>
        </w:tc>
        <w:tc>
          <w:tcPr>
            <w:tcW w:type="dxa" w:w="15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2 minutes</w:t>
            </w:r>
          </w:p>
        </w:tc>
      </w:tr>
      <w:tr>
        <w:tc>
          <w:tcPr>
            <w:tcW w:type="dxa" w:w="19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2. Invoice tracking begins</w:t>
            </w:r>
          </w:p>
        </w:tc>
        <w:tc>
          <w:tcPr>
            <w:tcW w:type="dxa" w:w="17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PayForce (ongoing)</w:t>
            </w:r>
          </w:p>
        </w:tc>
        <w:tc>
          <w:tcPr>
            <w:tcW w:type="dxa" w:w="4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Every invoice monitored 24/7. Due date countdown tracked. Status updated hourly from accounting software sync.</w:t>
            </w:r>
          </w:p>
        </w:tc>
        <w:tc>
          <w:tcPr>
            <w:tcW w:type="dxa" w:w="15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0 minutes</w:t>
            </w:r>
          </w:p>
        </w:tc>
      </w:tr>
      <w:tr>
        <w:tc>
          <w:tcPr>
            <w:tcW w:type="dxa" w:w="19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3. Steps 1–3 — automated reminder sequence</w:t>
            </w:r>
          </w:p>
        </w:tc>
        <w:tc>
          <w:tcPr>
            <w:tcW w:type="dxa" w:w="17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PayForce (automated)</w:t>
            </w:r>
          </w:p>
        </w:tc>
        <w:tc>
          <w:tcPr>
            <w:tcW w:type="dxa" w:w="4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Polite reminder, firm follow-up, formal notice sent automatically from client's email address at configured intervals. No client action needed.</w:t>
            </w:r>
          </w:p>
        </w:tc>
        <w:tc>
          <w:tcPr>
            <w:tcW w:type="dxa" w:w="15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0 minutes (client notified each time)</w:t>
            </w:r>
          </w:p>
        </w:tc>
      </w:tr>
      <w:tr>
        <w:tc>
          <w:tcPr>
            <w:tcW w:type="dxa" w:w="19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4. Step 4 — legal letter approval</w:t>
            </w:r>
          </w:p>
        </w:tc>
        <w:tc>
          <w:tcPr>
            <w:tcW w:type="dxa" w:w="17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Client (brief review)</w:t>
            </w:r>
          </w:p>
        </w:tc>
        <w:tc>
          <w:tcPr>
            <w:tcW w:type="dxa" w:w="4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PayForce calculates statutory interest and generates the Late Payment Act claim letter. Client sees the document, reviews it, clicks Approve. PayForce sends it.</w:t>
            </w:r>
          </w:p>
        </w:tc>
        <w:tc>
          <w:tcPr>
            <w:tcW w:type="dxa" w:w="15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~2 minutes</w:t>
            </w:r>
          </w:p>
        </w:tc>
      </w:tr>
      <w:tr>
        <w:tc>
          <w:tcPr>
            <w:tcW w:type="dxa" w:w="19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5. Payment received</w:t>
            </w:r>
          </w:p>
        </w:tc>
        <w:tc>
          <w:tcPr>
            <w:tcW w:type="dxa" w:w="17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PayForce (automated)</w:t>
            </w:r>
          </w:p>
        </w:tc>
        <w:tc>
          <w:tcPr>
            <w:tcW w:type="dxa" w:w="4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Payment detected via accounting software sync. Invoice marked paid. Audit trail timestamped. Success fee calculated.</w:t>
            </w:r>
          </w:p>
        </w:tc>
        <w:tc>
          <w:tcPr>
            <w:tcW w:type="dxa" w:w="15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0 minutes</w:t>
            </w:r>
          </w:p>
        </w:tc>
      </w:tr>
      <w:tr>
        <w:tc>
          <w:tcPr>
            <w:tcW w:type="dxa" w:w="19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6. Success fee processed</w:t>
            </w:r>
          </w:p>
        </w:tc>
        <w:tc>
          <w:tcPr>
            <w:tcW w:type="dxa" w:w="17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PayForce (automated)</w:t>
            </w:r>
          </w:p>
        </w:tc>
        <w:tc>
          <w:tcPr>
            <w:tcW w:type="dxa" w:w="4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End-of-month invoice issued to client showing all invoices recovered and applicable success fee. Stripe charges the amount.</w:t>
            </w:r>
          </w:p>
        </w:tc>
        <w:tc>
          <w:tcPr>
            <w:tcW w:type="dxa" w:w="15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0 minutes</w:t>
            </w:r>
          </w:p>
        </w:tc>
      </w:tr>
      <w:tr>
        <w:tc>
          <w:tcPr>
            <w:tcW w:type="dxa" w:w="19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7. Step 5 — Small Claims guidance (if needed)</w:t>
            </w:r>
          </w:p>
        </w:tc>
        <w:tc>
          <w:tcPr>
            <w:tcW w:type="dxa" w:w="17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Client + PayForce</w:t>
            </w:r>
          </w:p>
        </w:tc>
        <w:tc>
          <w:tcPr>
            <w:tcW w:type="dxa" w:w="4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If 60+ days with no payment, PayForce provides full guidance pack: pre-filled court claim form, evidence log, interest export. Client files at gov.uk/make-court-claim.</w:t>
            </w:r>
          </w:p>
        </w:tc>
        <w:tc>
          <w:tcPr>
            <w:tcW w:type="dxa" w:w="15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30 minutes (client files claim)</w:t>
            </w:r>
          </w:p>
        </w:tc>
      </w:tr>
    </w:tbl>
    <w:p>
      <w:pPr>
        <w:spacing w:after="0" w:before="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0F6E56"/>
          <w:sz w:val="28"/>
          <w:szCs w:val="28"/>
        </w:rPr>
        <w:t xml:space="preserve">8.2 What the client sees — dashboard status system</w:t>
      </w:r>
    </w:p>
    <w:p>
      <w:pPr>
        <w:spacing w:after="120" w:before="0"/>
      </w:pPr>
      <w:r>
        <w:rPr>
          <w:rFonts w:ascii="Arial" w:cs="Arial" w:eastAsia="Arial" w:hAnsi="Arial"/>
          <w:color w:val="1A1A1A"/>
          <w:sz w:val="22"/>
          <w:szCs w:val="22"/>
        </w:rPr>
        <w:t xml:space="preserve">Every invoice in the PayForce dashboard shows one of five colour-coded statuses:</w:t>
      </w:r>
    </w:p>
    <w:p>
      <w:pPr>
        <w:spacing w:after="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600"/>
        <w:gridCol w:w="2560"/>
      </w:tblGrid>
      <w:tr>
        <w:trPr>
          <w:tblHeader/>
        </w:trPr>
        <w:tc>
          <w:tcPr>
            <w:tcW w:type="dxa" w:w="18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Status</w:t>
            </w:r>
          </w:p>
        </w:tc>
        <w:tc>
          <w:tcPr>
            <w:tcW w:type="dxa" w:w="14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Colour</w:t>
            </w:r>
          </w:p>
        </w:tc>
        <w:tc>
          <w:tcPr>
            <w:tcW w:type="dxa" w:w="36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Meaning</w:t>
            </w:r>
          </w:p>
        </w:tc>
        <w:tc>
          <w:tcPr>
            <w:tcW w:type="dxa" w:w="256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Client action</w:t>
            </w:r>
          </w:p>
        </w:tc>
      </w:tr>
      <w:tr>
        <w:tc>
          <w:tcPr>
            <w:tcW w:type="dxa" w:w="18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Upcoming</w:t>
            </w:r>
          </w:p>
        </w:tc>
        <w:tc>
          <w:tcPr>
            <w:tcW w:type="dxa" w:w="1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Gray</w:t>
            </w:r>
          </w:p>
        </w:tc>
        <w:tc>
          <w:tcPr>
            <w:tcW w:type="dxa" w:w="3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Invoice due within 7 days — no action yet</w:t>
            </w:r>
          </w:p>
        </w:tc>
        <w:tc>
          <w:tcPr>
            <w:tcW w:type="dxa" w:w="25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None — system watching</w:t>
            </w:r>
          </w:p>
        </w:tc>
      </w:tr>
      <w:tr>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Reminder active</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Green</w:t>
            </w:r>
          </w:p>
        </w:tc>
        <w:tc>
          <w:tcPr>
            <w:tcW w:type="dxa" w:w="3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Steps 1–2 underway — automated emails being sent</w:t>
            </w:r>
          </w:p>
        </w:tc>
        <w:tc>
          <w:tcPr>
            <w:tcW w:type="dxa" w:w="25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None — system handling</w:t>
            </w:r>
          </w:p>
        </w:tc>
      </w:tr>
      <w:tr>
        <w:tc>
          <w:tcPr>
            <w:tcW w:type="dxa" w:w="18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Formal notice</w:t>
            </w:r>
          </w:p>
        </w:tc>
        <w:tc>
          <w:tcPr>
            <w:tcW w:type="dxa" w:w="1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Amber</w:t>
            </w:r>
          </w:p>
        </w:tc>
        <w:tc>
          <w:tcPr>
            <w:tcW w:type="dxa" w:w="3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Step 3 sent — debtor has 7 days to respond</w:t>
            </w:r>
          </w:p>
        </w:tc>
        <w:tc>
          <w:tcPr>
            <w:tcW w:type="dxa" w:w="25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None — awaiting response</w:t>
            </w:r>
          </w:p>
        </w:tc>
      </w:tr>
      <w:tr>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Legal claim</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Red</w:t>
            </w:r>
          </w:p>
        </w:tc>
        <w:tc>
          <w:tcPr>
            <w:tcW w:type="dxa" w:w="3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Step 4 letter ready for approval OR sent</w:t>
            </w:r>
          </w:p>
        </w:tc>
        <w:tc>
          <w:tcPr>
            <w:tcW w:type="dxa" w:w="25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Approve letter (2 minutes)</w:t>
            </w:r>
          </w:p>
        </w:tc>
      </w:tr>
      <w:tr>
        <w:tc>
          <w:tcPr>
            <w:tcW w:type="dxa" w:w="18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Court stage</w:t>
            </w:r>
          </w:p>
        </w:tc>
        <w:tc>
          <w:tcPr>
            <w:tcW w:type="dxa" w:w="1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Purple</w:t>
            </w:r>
          </w:p>
        </w:tc>
        <w:tc>
          <w:tcPr>
            <w:tcW w:type="dxa" w:w="3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60+ days with no payment — guidance pack available</w:t>
            </w:r>
          </w:p>
        </w:tc>
        <w:tc>
          <w:tcPr>
            <w:tcW w:type="dxa" w:w="25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Download pack, file claim</w:t>
            </w:r>
          </w:p>
        </w:tc>
      </w:tr>
    </w:tbl>
    <w:p>
      <w:r>
        <w:br/>
      </w:r>
    </w:p>
    <w:p>
      <w:pPr>
        <w:pStyle w:val="Heading1"/>
        <w:pBdr>
          <w:bottom w:val="single" w:color="0F6E56" w:sz="8" w:space="4"/>
        </w:pBdr>
        <w:spacing w:after="160" w:before="360"/>
      </w:pPr>
      <w:r>
        <w:rPr>
          <w:rFonts w:ascii="Arial" w:cs="Arial" w:eastAsia="Arial" w:hAnsi="Arial"/>
          <w:b/>
          <w:bCs/>
          <w:color w:val="1B3A6B"/>
          <w:sz w:val="36"/>
          <w:szCs w:val="36"/>
        </w:rPr>
        <w:t xml:space="preserve">9. Go-to-Market Strategy</w:t>
      </w:r>
    </w:p>
    <w:p>
      <w:pPr>
        <w:pStyle w:val="Heading2"/>
        <w:spacing w:after="120" w:before="240"/>
      </w:pPr>
      <w:r>
        <w:rPr>
          <w:rFonts w:ascii="Arial" w:cs="Arial" w:eastAsia="Arial" w:hAnsi="Arial"/>
          <w:b/>
          <w:bCs/>
          <w:color w:val="0F6E56"/>
          <w:sz w:val="28"/>
          <w:szCs w:val="28"/>
        </w:rPr>
        <w:t xml:space="preserve">9.1 The free statutory interest calculator — build this first</w:t>
      </w:r>
    </w:p>
    <w:p>
      <w:pPr>
        <w:spacing w:after="120" w:before="0"/>
      </w:pPr>
      <w:r>
        <w:rPr>
          <w:rFonts w:ascii="Arial" w:cs="Arial" w:eastAsia="Arial" w:hAnsi="Arial"/>
          <w:color w:val="1A1A1A"/>
          <w:sz w:val="22"/>
          <w:szCs w:val="22"/>
        </w:rPr>
        <w:t xml:space="preserve">Before writing a single line of PayForce backend code, Rafi should build a free public-facing statutory interest calculator. This is a single-page web app — no login, no database, no payment. The user enters: invoice amount, due date, today's date. The tool instantly calculates: statutory interest owed, fixed compensation, total legal claim, and daily accrual rate.</w:t>
      </w:r>
    </w:p>
    <w:p>
      <w:pPr>
        <w:spacing w:after="0" w:before="0"/>
      </w:pPr>
      <w:r>
        <w:rPr>
          <w:rFonts w:ascii="Arial" w:cs="Arial" w:eastAsia="Arial" w:hAnsi="Arial"/>
          <w:color w:val="1A1A1A"/>
          <w:sz w:val="22"/>
          <w:szCs w:val="22"/>
        </w:rPr>
        <w:t xml:space="preserve"/>
      </w:r>
    </w:p>
    <w:p>
      <w:pPr>
        <w:spacing w:after="120" w:before="0"/>
      </w:pPr>
      <w:r>
        <w:rPr>
          <w:rFonts w:ascii="Arial" w:cs="Arial" w:eastAsia="Arial" w:hAnsi="Arial"/>
          <w:color w:val="1A1A1A"/>
          <w:sz w:val="22"/>
          <w:szCs w:val="22"/>
        </w:rPr>
        <w:t xml:space="preserve">Why this is the most important first action: people search Google for "UK late payment interest calculator" regularly, and no good free tool currently exists. This page will rank organically and capture warm, high-intent traffic from exactly the right audience. Every visitor who uses this tool is a potential PayForce paying customer. Build time for Rafi: approximately 3–5 days.</w:t>
      </w:r>
    </w:p>
    <w:p>
      <w:pPr>
        <w:spacing w:after="0" w:before="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0F6E56"/>
          <w:sz w:val="28"/>
          <w:szCs w:val="28"/>
        </w:rPr>
        <w:t xml:space="preserve">9.2 Reddit cold start — first 10 paying customers</w:t>
      </w:r>
    </w:p>
    <w:p>
      <w:pPr>
        <w:spacing w:after="120" w:before="0"/>
      </w:pPr>
      <w:r>
        <w:rPr>
          <w:rFonts w:ascii="Arial" w:cs="Arial" w:eastAsia="Arial" w:hAnsi="Arial"/>
          <w:color w:val="1A1A1A"/>
          <w:sz w:val="22"/>
          <w:szCs w:val="22"/>
        </w:rPr>
        <w:t xml:space="preserve">The acquisition path for the first 10 paying customers costs zero money. Every week on r/SmallBusinessUK, r/LegalAdviceUK, and r/freelance, SME owners post questions like: "My client owes me £15,000 for three months, what do I do?" Shaafi or Rafi should respond to every single one of these threads with:</w:t>
      </w:r>
    </w:p>
    <w:p>
      <w:pPr>
        <w:spacing w:after="0" w:before="0"/>
      </w:pPr>
      <w:r>
        <w:rPr>
          <w:rFonts w:ascii="Arial" w:cs="Arial" w:eastAsia="Arial" w:hAnsi="Arial"/>
          <w:color w:val="1A1A1A"/>
          <w:sz w:val="22"/>
          <w:szCs w:val="22"/>
        </w:rPr>
        <w:t xml:space="preserve"/>
      </w:r>
    </w:p>
    <w:p>
      <w:pPr>
        <w:pStyle w:val="ListParagraph"/>
        <w:numPr>
          <w:ilvl w:val="0"/>
          <w:numId w:val="3"/>
        </w:numPr>
        <w:spacing w:after="80" w:before="0"/>
      </w:pPr>
      <w:r>
        <w:rPr>
          <w:rFonts w:ascii="Arial" w:cs="Arial" w:eastAsia="Arial" w:hAnsi="Arial"/>
          <w:color w:val="1A1A1A"/>
          <w:sz w:val="22"/>
          <w:szCs w:val="22"/>
        </w:rPr>
        <w:t xml:space="preserve">A genuine, helpful answer explaining the Late Payment Act and their statutory rights</w:t>
      </w:r>
    </w:p>
    <w:p>
      <w:pPr>
        <w:pStyle w:val="ListParagraph"/>
        <w:numPr>
          <w:ilvl w:val="0"/>
          <w:numId w:val="3"/>
        </w:numPr>
        <w:spacing w:after="80" w:before="0"/>
      </w:pPr>
      <w:r>
        <w:rPr>
          <w:rFonts w:ascii="Arial" w:cs="Arial" w:eastAsia="Arial" w:hAnsi="Arial"/>
          <w:color w:val="1A1A1A"/>
          <w:sz w:val="22"/>
          <w:szCs w:val="22"/>
        </w:rPr>
        <w:t xml:space="preserve">A calculation of how much interest they are legally owed (manual calculation for the reply)</w:t>
      </w:r>
    </w:p>
    <w:p>
      <w:pPr>
        <w:pStyle w:val="ListParagraph"/>
        <w:numPr>
          <w:ilvl w:val="0"/>
          <w:numId w:val="3"/>
        </w:numPr>
        <w:spacing w:after="80" w:before="0"/>
      </w:pPr>
      <w:r>
        <w:rPr>
          <w:rFonts w:ascii="Arial" w:cs="Arial" w:eastAsia="Arial" w:hAnsi="Arial"/>
          <w:color w:val="1A1A1A"/>
          <w:sz w:val="22"/>
          <w:szCs w:val="22"/>
        </w:rPr>
        <w:t xml:space="preserve">A mention that PayForce automates this entire process — with a link to the free calculator</w:t>
      </w:r>
    </w:p>
    <w:p>
      <w:pPr>
        <w:spacing w:after="0" w:before="0"/>
      </w:pPr>
      <w:r>
        <w:rPr>
          <w:rFonts w:ascii="Arial" w:cs="Arial" w:eastAsia="Arial" w:hAnsi="Arial"/>
          <w:color w:val="1A1A1A"/>
          <w:sz w:val="22"/>
          <w:szCs w:val="22"/>
        </w:rPr>
        <w:t xml:space="preserve"/>
      </w:r>
    </w:p>
    <w:p>
      <w:pPr>
        <w:spacing w:after="120" w:before="0"/>
      </w:pPr>
      <w:r>
        <w:rPr>
          <w:rFonts w:ascii="Arial" w:cs="Arial" w:eastAsia="Arial" w:hAnsi="Arial"/>
          <w:color w:val="1A1A1A"/>
          <w:sz w:val="22"/>
          <w:szCs w:val="22"/>
        </w:rPr>
        <w:t xml:space="preserve">This is not advertising. It is providing real value to people in pain. The conversion from helpful reply to beta user to paying customer is the highest-quality acquisition path available to a bootstrapped team.</w:t>
      </w:r>
    </w:p>
    <w:p>
      <w:pPr>
        <w:spacing w:after="0" w:before="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0F6E56"/>
          <w:sz w:val="28"/>
          <w:szCs w:val="28"/>
        </w:rPr>
        <w:t xml:space="preserve">9.3 Xero app marketplace — critical long-term channel</w:t>
      </w:r>
    </w:p>
    <w:p>
      <w:pPr>
        <w:spacing w:after="120" w:before="0"/>
      </w:pPr>
      <w:r>
        <w:rPr>
          <w:rFonts w:ascii="Arial" w:cs="Arial" w:eastAsia="Arial" w:hAnsi="Arial"/>
          <w:color w:val="1A1A1A"/>
          <w:sz w:val="22"/>
          <w:szCs w:val="22"/>
        </w:rPr>
        <w:t xml:space="preserve">Getting listed on the Xero App Marketplace is the single highest-leverage distribution milestone for PayForce. UK SMEs in the Xero ecosystem are exactly the target profile. Marketplace listing = trusted, visible, inbound.</w:t>
      </w:r>
    </w:p>
    <w:p>
      <w:pPr>
        <w:spacing w:after="0" w:before="0"/>
      </w:pPr>
      <w:r>
        <w:rPr>
          <w:rFonts w:ascii="Arial" w:cs="Arial" w:eastAsia="Arial" w:hAnsi="Arial"/>
          <w:color w:val="1A1A1A"/>
          <w:sz w:val="22"/>
          <w:szCs w:val="22"/>
        </w:rPr>
        <w:t xml:space="preserve"/>
      </w:r>
    </w:p>
    <w:p>
      <w:pPr>
        <w:spacing w:after="120" w:before="0"/>
      </w:pPr>
      <w:r>
        <w:rPr>
          <w:rFonts w:ascii="Arial" w:cs="Arial" w:eastAsia="Arial" w:hAnsi="Arial"/>
          <w:color w:val="1A1A1A"/>
          <w:sz w:val="22"/>
          <w:szCs w:val="22"/>
        </w:rPr>
        <w:t xml:space="preserve">However, Xero marketplace approval requires technical review, security audit, and data handling compliance. This process takes 4–8 weeks. The Xero marketplace application process must be started at the same time as the MVP build — it cannot be left until after launch. Shaafi should initiate the Xero partner application during Week 1 of the build.</w:t>
      </w:r>
    </w:p>
    <w:p>
      <w:pPr>
        <w:spacing w:after="0" w:before="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0F6E56"/>
          <w:sz w:val="28"/>
          <w:szCs w:val="28"/>
        </w:rPr>
        <w:t xml:space="preserve">9.4 Phase-by-phase go-to-market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3000"/>
        <w:gridCol w:w="1560"/>
      </w:tblGrid>
      <w:tr>
        <w:trPr>
          <w:tblHeader/>
        </w:trPr>
        <w:tc>
          <w:tcPr>
            <w:tcW w:type="dxa" w:w="14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Phase</w:t>
            </w:r>
          </w:p>
        </w:tc>
        <w:tc>
          <w:tcPr>
            <w:tcW w:type="dxa" w:w="16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Timeline</w:t>
            </w:r>
          </w:p>
        </w:tc>
        <w:tc>
          <w:tcPr>
            <w:tcW w:type="dxa" w:w="18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Focus</w:t>
            </w:r>
          </w:p>
        </w:tc>
        <w:tc>
          <w:tcPr>
            <w:tcW w:type="dxa" w:w="30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Key actions</w:t>
            </w:r>
          </w:p>
        </w:tc>
        <w:tc>
          <w:tcPr>
            <w:tcW w:type="dxa" w:w="156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Target</w:t>
            </w:r>
          </w:p>
        </w:tc>
      </w:tr>
      <w:tr>
        <w:tc>
          <w:tcPr>
            <w:tcW w:type="dxa" w:w="1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Pre-launch</w:t>
            </w:r>
          </w:p>
        </w:tc>
        <w:tc>
          <w:tcPr>
            <w:tcW w:type="dxa" w:w="1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Weeks 1–5 (during build)</w:t>
            </w:r>
          </w:p>
        </w:tc>
        <w:tc>
          <w:tcPr>
            <w:tcW w:type="dxa" w:w="18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Audience building and validation</w:t>
            </w:r>
          </w:p>
        </w:tc>
        <w:tc>
          <w:tcPr>
            <w:tcW w:type="dxa" w:w="30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Build free calculator. Post on Reddit with helpful answers. Build a waitlist. Shaafi reaches out to 10 UK SME contacts from his Amazon network.</w:t>
            </w:r>
          </w:p>
        </w:tc>
        <w:tc>
          <w:tcPr>
            <w:tcW w:type="dxa" w:w="15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200 waitlist signups before launch</w:t>
            </w:r>
          </w:p>
        </w:tc>
      </w:tr>
      <w:tr>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Soft launch</w:t>
            </w:r>
          </w:p>
        </w:tc>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Month 3</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First paying customers</w:t>
            </w:r>
          </w:p>
        </w:tc>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Invite waitlist to beta. Offer first 20 clients 50% off for 3 months in exchange for testimonials. Submit Xero marketplace application.</w:t>
            </w:r>
          </w:p>
        </w:tc>
        <w:tc>
          <w:tcPr>
            <w:tcW w:type="dxa" w:w="15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20 paying clients, 3 testimonials</w:t>
            </w:r>
          </w:p>
        </w:tc>
      </w:tr>
      <w:tr>
        <w:tc>
          <w:tcPr>
            <w:tcW w:type="dxa" w:w="1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Growth launch</w:t>
            </w:r>
          </w:p>
        </w:tc>
        <w:tc>
          <w:tcPr>
            <w:tcW w:type="dxa" w:w="1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Month 4–6</w:t>
            </w:r>
          </w:p>
        </w:tc>
        <w:tc>
          <w:tcPr>
            <w:tcW w:type="dxa" w:w="18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Scale acquisition</w:t>
            </w:r>
          </w:p>
        </w:tc>
        <w:tc>
          <w:tcPr>
            <w:tcW w:type="dxa" w:w="30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Publish free calculator SEO content. LinkedIn posts on Late Payment Act rights (Shaafi). Target Chaser users with comparison content. Xero marketplace live.</w:t>
            </w:r>
          </w:p>
        </w:tc>
        <w:tc>
          <w:tcPr>
            <w:tcW w:type="dxa" w:w="15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80 paying clients, £10K MRR</w:t>
            </w:r>
          </w:p>
        </w:tc>
      </w:tr>
      <w:tr>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Partner channel</w:t>
            </w:r>
          </w:p>
        </w:tc>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Month 6–9</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Accountant partnerships</w:t>
            </w:r>
          </w:p>
        </w:tc>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Identify 5 UK accountancy practices. Offer white-label PayForce to their SME client base. One partnership = 30–100 new clients passively.</w:t>
            </w:r>
          </w:p>
        </w:tc>
        <w:tc>
          <w:tcPr>
            <w:tcW w:type="dxa" w:w="15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200 clients, £22K MRR</w:t>
            </w:r>
          </w:p>
        </w:tc>
      </w:tr>
      <w:tr>
        <w:tc>
          <w:tcPr>
            <w:tcW w:type="dxa" w:w="1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Scale</w:t>
            </w:r>
          </w:p>
        </w:tc>
        <w:tc>
          <w:tcPr>
            <w:tcW w:type="dxa" w:w="1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Month 9–12</w:t>
            </w:r>
          </w:p>
        </w:tc>
        <w:tc>
          <w:tcPr>
            <w:tcW w:type="dxa" w:w="18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Paid acquisition viable</w:t>
            </w:r>
          </w:p>
        </w:tc>
        <w:tc>
          <w:tcPr>
            <w:tcW w:type="dxa" w:w="30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CAC is known. Payback period is short. Begin modest LinkedIn ads targeting construction, recruitment, creative agency owners.</w:t>
            </w:r>
          </w:p>
        </w:tc>
        <w:tc>
          <w:tcPr>
            <w:tcW w:type="dxa" w:w="15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400 clients, £40K MRR</w:t>
            </w:r>
          </w:p>
        </w:tc>
      </w:tr>
    </w:tbl>
    <w:p>
      <w:r>
        <w:br/>
      </w:r>
    </w:p>
    <w:p>
      <w:pPr>
        <w:pStyle w:val="Heading1"/>
        <w:pBdr>
          <w:bottom w:val="single" w:color="0F6E56" w:sz="8" w:space="4"/>
        </w:pBdr>
        <w:spacing w:after="160" w:before="360"/>
      </w:pPr>
      <w:r>
        <w:rPr>
          <w:rFonts w:ascii="Arial" w:cs="Arial" w:eastAsia="Arial" w:hAnsi="Arial"/>
          <w:b/>
          <w:bCs/>
          <w:color w:val="1B3A6B"/>
          <w:sz w:val="36"/>
          <w:szCs w:val="36"/>
        </w:rPr>
        <w:t xml:space="preserve">10. Technical Architecture &amp; Build Plan</w:t>
      </w:r>
    </w:p>
    <w:p>
      <w:pPr>
        <w:pStyle w:val="Heading2"/>
        <w:spacing w:after="120" w:before="240"/>
      </w:pPr>
      <w:r>
        <w:rPr>
          <w:rFonts w:ascii="Arial" w:cs="Arial" w:eastAsia="Arial" w:hAnsi="Arial"/>
          <w:b/>
          <w:bCs/>
          <w:color w:val="0F6E56"/>
          <w:sz w:val="28"/>
          <w:szCs w:val="28"/>
        </w:rPr>
        <w:t xml:space="preserve">10.1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Layer</w:t>
            </w:r>
          </w:p>
        </w:tc>
        <w:tc>
          <w:tcPr>
            <w:tcW w:type="dxa" w:w="22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Technology</w:t>
            </w:r>
          </w:p>
        </w:tc>
        <w:tc>
          <w:tcPr>
            <w:tcW w:type="dxa" w:w="516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Why this choice</w:t>
            </w:r>
          </w:p>
        </w:tc>
      </w:tr>
      <w:tr>
        <w:tc>
          <w:tcPr>
            <w:tcW w:type="dxa" w:w="20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Frontend</w:t>
            </w:r>
          </w:p>
        </w:tc>
        <w:tc>
          <w:tcPr>
            <w:tcW w:type="dxa" w:w="2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Next.js + Tailwind CSS</w:t>
            </w:r>
          </w:p>
        </w:tc>
        <w:tc>
          <w:tcPr>
            <w:tcW w:type="dxa" w:w="51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Fast builds, server-side rendering for SEO (important for free calculator), familiar to the team</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Backend</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Node.js (Express) or Python (FastAPI)</w:t>
            </w:r>
          </w:p>
        </w:tc>
        <w:tc>
          <w:tcPr>
            <w:tcW w:type="dxa" w:w="51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Choose based on Rafi's strongest language. Both are well-suited to this product.</w:t>
            </w:r>
          </w:p>
        </w:tc>
      </w:tr>
      <w:tr>
        <w:tc>
          <w:tcPr>
            <w:tcW w:type="dxa" w:w="20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Database</w:t>
            </w:r>
          </w:p>
        </w:tc>
        <w:tc>
          <w:tcPr>
            <w:tcW w:type="dxa" w:w="2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PostgreSQL</w:t>
            </w:r>
          </w:p>
        </w:tc>
        <w:tc>
          <w:tcPr>
            <w:tcW w:type="dxa" w:w="51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Relational structure fits invoice/payment data model well. GDPR-compliant UK hosting on AWS London.</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Accounting integrations</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Xero API, QuickBooks API, FreeAgent API — OAuth 2.0</w:t>
            </w:r>
          </w:p>
        </w:tc>
        <w:tc>
          <w:tcPr>
            <w:tcW w:type="dxa" w:w="51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All three have excellent documentation. Xero is highest priority for UK market.</w:t>
            </w:r>
          </w:p>
        </w:tc>
      </w:tr>
      <w:tr>
        <w:tc>
          <w:tcPr>
            <w:tcW w:type="dxa" w:w="20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Email delivery</w:t>
            </w:r>
          </w:p>
        </w:tc>
        <w:tc>
          <w:tcPr>
            <w:tcW w:type="dxa" w:w="2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Resend or Postmark</w:t>
            </w:r>
          </w:p>
        </w:tc>
        <w:tc>
          <w:tcPr>
            <w:tcW w:type="dxa" w:w="51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Reliable transactional email with DKIM/SPF for deliverability. Critical — emails must not go to spam.</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Document generation</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docx npm library (Node.js) or python-docx</w:t>
            </w:r>
          </w:p>
        </w:tc>
        <w:tc>
          <w:tcPr>
            <w:tcW w:type="dxa" w:w="51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Generates legally-formatted Step 3 and Step 4 letters as downloadable .docx files.</w:t>
            </w:r>
          </w:p>
        </w:tc>
      </w:tr>
      <w:tr>
        <w:tc>
          <w:tcPr>
            <w:tcW w:type="dxa" w:w="20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Payments</w:t>
            </w:r>
          </w:p>
        </w:tc>
        <w:tc>
          <w:tcPr>
            <w:tcW w:type="dxa" w:w="2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Stripe</w:t>
            </w:r>
          </w:p>
        </w:tc>
        <w:tc>
          <w:tcPr>
            <w:tcW w:type="dxa" w:w="51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Handles monthly subscription billing and end-of-month success fee invoicing.</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Hosting</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AWS eu-west-2 (London)</w:t>
            </w:r>
          </w:p>
        </w:tc>
        <w:tc>
          <w:tcPr>
            <w:tcW w:type="dxa" w:w="51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GDPR requires UK/EU data residency. Shaafi has deep AWS expertise from Amazon Prime — significant advantage.</w:t>
            </w:r>
          </w:p>
        </w:tc>
      </w:tr>
      <w:tr>
        <w:tc>
          <w:tcPr>
            <w:tcW w:type="dxa" w:w="20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Queue system</w:t>
            </w:r>
          </w:p>
        </w:tc>
        <w:tc>
          <w:tcPr>
            <w:tcW w:type="dxa" w:w="2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BullMQ (Redis-backed)</w:t>
            </w:r>
          </w:p>
        </w:tc>
        <w:tc>
          <w:tcPr>
            <w:tcW w:type="dxa" w:w="51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Manages escalation sequence scheduling — critical for sending emails at the right time relative to due dates.</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Monitoring</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Sentry + basic CloudWatch</w:t>
            </w:r>
          </w:p>
        </w:tc>
        <w:tc>
          <w:tcPr>
            <w:tcW w:type="dxa" w:w="51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Error tracking and uptime monitoring from day one. Non-negotiable.</w:t>
            </w:r>
          </w:p>
        </w:tc>
      </w:tr>
    </w:tbl>
    <w:p>
      <w:pPr>
        <w:spacing w:after="0" w:before="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0F6E56"/>
          <w:sz w:val="28"/>
          <w:szCs w:val="28"/>
        </w:rPr>
        <w:t xml:space="preserve">10.2 MVP build timeline — 7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Week</w:t>
            </w:r>
          </w:p>
        </w:tc>
        <w:tc>
          <w:tcPr>
            <w:tcW w:type="dxa" w:w="18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Owner</w:t>
            </w:r>
          </w:p>
        </w:tc>
        <w:tc>
          <w:tcPr>
            <w:tcW w:type="dxa" w:w="636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Deliverable</w:t>
            </w:r>
          </w:p>
        </w:tc>
      </w:tr>
      <w:tr>
        <w:tc>
          <w:tcPr>
            <w:tcW w:type="dxa" w:w="1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Week 0 (pre-build)</w:t>
            </w:r>
          </w:p>
        </w:tc>
        <w:tc>
          <w:tcPr>
            <w:tcW w:type="dxa" w:w="18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Shaafi</w:t>
            </w:r>
          </w:p>
        </w:tc>
        <w:tc>
          <w:tcPr>
            <w:tcW w:type="dxa" w:w="63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Submit Xero marketplace application. Set up AWS account, GitHub repo, CI/CD pipeline. Architecture decisions finalised.</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Week 1</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Rafi + Shaafi review</w:t>
            </w:r>
          </w:p>
        </w:tc>
        <w:tc>
          <w:tcPr>
            <w:tcW w:type="dxa" w:w="63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Free statutory interest calculator (public-facing, no login). This is the lead magnet and the SEO asset. Build this before anything else.</w:t>
            </w:r>
          </w:p>
        </w:tc>
      </w:tr>
      <w:tr>
        <w:tc>
          <w:tcPr>
            <w:tcW w:type="dxa" w:w="1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Week 2</w:t>
            </w:r>
          </w:p>
        </w:tc>
        <w:tc>
          <w:tcPr>
            <w:tcW w:type="dxa" w:w="18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Rafi</w:t>
            </w:r>
          </w:p>
        </w:tc>
        <w:tc>
          <w:tcPr>
            <w:tcW w:type="dxa" w:w="63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Authentication system, multi-tenant database schema, Stripe subscription billing. Basic Next.js dashboard shell.</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Week 3</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Rafi</w:t>
            </w:r>
          </w:p>
        </w:tc>
        <w:tc>
          <w:tcPr>
            <w:tcW w:type="dxa" w:w="63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Xero OAuth integration — invoice import, hourly sync, payment detection. Dashboard showing invoice status with traffic light system.</w:t>
            </w:r>
          </w:p>
        </w:tc>
      </w:tr>
      <w:tr>
        <w:tc>
          <w:tcPr>
            <w:tcW w:type="dxa" w:w="1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Week 4</w:t>
            </w:r>
          </w:p>
        </w:tc>
        <w:tc>
          <w:tcPr>
            <w:tcW w:type="dxa" w:w="18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Rafi</w:t>
            </w:r>
          </w:p>
        </w:tc>
        <w:tc>
          <w:tcPr>
            <w:tcW w:type="dxa" w:w="63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Statutory interest calculation engine. Email template system. Steps 1–3 automated escalation scheduler (BullMQ). Test with 5 real invoices.</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Week 5</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Rafi + Mustakim QA</w:t>
            </w:r>
          </w:p>
        </w:tc>
        <w:tc>
          <w:tcPr>
            <w:tcW w:type="dxa" w:w="63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Step 4 legal letter generation (.docx). Client approval flow. Step 5 guidance pack generator. Audit trail logging. Mustakim full QA of escalation sequences.</w:t>
            </w:r>
          </w:p>
        </w:tc>
      </w:tr>
      <w:tr>
        <w:tc>
          <w:tcPr>
            <w:tcW w:type="dxa" w:w="1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Week 6</w:t>
            </w:r>
          </w:p>
        </w:tc>
        <w:tc>
          <w:tcPr>
            <w:tcW w:type="dxa" w:w="18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Mustakim (lead QA)</w:t>
            </w:r>
          </w:p>
        </w:tc>
        <w:tc>
          <w:tcPr>
            <w:tcW w:type="dxa" w:w="63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Full regression testing. QuickBooks and FreeAgent integrations. Success fee tracking and month-end invoicing. Edge case testing — disputed invoices, partial payments, credit notes.</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Week 7</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All three</w:t>
            </w:r>
          </w:p>
        </w:tc>
        <w:tc>
          <w:tcPr>
            <w:tcW w:type="dxa" w:w="63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Beta launch to waitlist (20 clients). Shaafi handles UK onboarding calls. Rafi fixes critical bugs. Mustakim monitors for issues. Collect first testimonials.</w:t>
            </w:r>
          </w:p>
        </w:tc>
      </w:tr>
    </w:tbl>
    <w:p>
      <w:pPr>
        <w:spacing w:after="0" w:before="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0F6E56"/>
          <w:sz w:val="28"/>
          <w:szCs w:val="28"/>
        </w:rPr>
        <w:t xml:space="preserve">10.3 Team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Team member</w:t>
            </w:r>
          </w:p>
        </w:tc>
        <w:tc>
          <w:tcPr>
            <w:tcW w:type="dxa" w:w="20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Role</w:t>
            </w:r>
          </w:p>
        </w:tc>
        <w:tc>
          <w:tcPr>
            <w:tcW w:type="dxa" w:w="556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Primary responsibilities in PayForce</w:t>
            </w:r>
          </w:p>
        </w:tc>
      </w:tr>
      <w:tr>
        <w:tc>
          <w:tcPr>
            <w:tcW w:type="dxa" w:w="18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Rafi</w:t>
            </w:r>
          </w:p>
        </w:tc>
        <w:tc>
          <w:tcPr>
            <w:tcW w:type="dxa" w:w="20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Software Engineer (primary builder)</w:t>
            </w:r>
          </w:p>
        </w:tc>
        <w:tc>
          <w:tcPr>
            <w:tcW w:type="dxa" w:w="55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All backend development: accounting integrations, statutory interest engine, escalation scheduler, document generation, Stripe. Primary frontend: dashboard, client onboarding flow, free calculator.</w:t>
            </w:r>
          </w:p>
        </w:tc>
      </w:tr>
      <w:tr>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Mustakim</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Product Engineer / QA</w:t>
            </w:r>
          </w:p>
        </w:tc>
        <w:tc>
          <w:tcPr>
            <w:tcW w:type="dxa" w:w="55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QA testing of escalation sequences, interest calculations, letter generation accuracy, edge cases. Minor bug fixes. User flow testing from client perspective.</w:t>
            </w:r>
          </w:p>
        </w:tc>
      </w:tr>
      <w:tr>
        <w:tc>
          <w:tcPr>
            <w:tcW w:type="dxa" w:w="18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Shaafi</w:t>
            </w:r>
          </w:p>
        </w:tc>
        <w:tc>
          <w:tcPr>
            <w:tcW w:type="dxa" w:w="20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Senior SWE (Amazon UK) + Decision-maker</w:t>
            </w:r>
          </w:p>
        </w:tc>
        <w:tc>
          <w:tcPr>
            <w:tcW w:type="dxa" w:w="55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Architecture review and approvals. AWS infrastructure setup. Xero marketplace application. UK market validation — first client outreach via professional network. Strategic decisions on pricing and feature prioritisation.</w:t>
            </w:r>
          </w:p>
        </w:tc>
      </w:tr>
    </w:tbl>
    <w:p>
      <w:r>
        <w:br/>
      </w:r>
    </w:p>
    <w:p>
      <w:pPr>
        <w:pStyle w:val="Heading1"/>
        <w:pBdr>
          <w:bottom w:val="single" w:color="0F6E56" w:sz="8" w:space="4"/>
        </w:pBdr>
        <w:spacing w:after="160" w:before="360"/>
      </w:pPr>
      <w:r>
        <w:rPr>
          <w:rFonts w:ascii="Arial" w:cs="Arial" w:eastAsia="Arial" w:hAnsi="Arial"/>
          <w:b/>
          <w:bCs/>
          <w:color w:val="1B3A6B"/>
          <w:sz w:val="36"/>
          <w:szCs w:val="36"/>
        </w:rPr>
        <w:t xml:space="preserve">11. Legal &amp; Regulatory Requirements</w:t>
      </w:r>
    </w:p>
    <w:p>
      <w:pPr>
        <w:pStyle w:val="Heading2"/>
        <w:spacing w:after="120" w:before="240"/>
      </w:pPr>
      <w:r>
        <w:rPr>
          <w:rFonts w:ascii="Arial" w:cs="Arial" w:eastAsia="Arial" w:hAnsi="Arial"/>
          <w:b/>
          <w:bCs/>
          <w:color w:val="0F6E56"/>
          <w:sz w:val="28"/>
          <w:szCs w:val="28"/>
        </w:rPr>
        <w:t xml:space="preserve">11.1 What you need before accepting the first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2260"/>
      </w:tblGrid>
      <w:tr>
        <w:trPr>
          <w:tblHeader/>
        </w:trPr>
        <w:tc>
          <w:tcPr>
            <w:tcW w:type="dxa" w:w="26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Requirement</w:t>
            </w:r>
          </w:p>
        </w:tc>
        <w:tc>
          <w:tcPr>
            <w:tcW w:type="dxa" w:w="45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Detail</w:t>
            </w:r>
          </w:p>
        </w:tc>
        <w:tc>
          <w:tcPr>
            <w:tcW w:type="dxa" w:w="226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Cost / Timeline</w:t>
            </w:r>
          </w:p>
        </w:tc>
      </w:tr>
      <w:tr>
        <w:tc>
          <w:tcPr>
            <w:tcW w:type="dxa" w:w="2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ICO registration (Data Controller)</w:t>
            </w:r>
          </w:p>
        </w:tc>
        <w:tc>
          <w:tcPr>
            <w:tcW w:type="dxa" w:w="45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Mandatory. PayForce processes invoice and debtor data on behalf of clients. Register at ico.org.uk before accepting any client data.</w:t>
            </w:r>
          </w:p>
        </w:tc>
        <w:tc>
          <w:tcPr>
            <w:tcW w:type="dxa" w:w="22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£40–60/year. Same-day online registration.</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Companies House registration</w:t>
            </w:r>
          </w:p>
        </w:tc>
        <w:tc>
          <w:tcPr>
            <w:tcW w:type="dxa" w:w="4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Register PayForce Ltd as a UK Limited Company. Required for bank account, Stripe account, and contracts.</w:t>
            </w:r>
          </w:p>
        </w:tc>
        <w:tc>
          <w:tcPr>
            <w:tcW w:type="dxa" w:w="22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£12. Same-day online.</w:t>
            </w:r>
          </w:p>
        </w:tc>
      </w:tr>
      <w:tr>
        <w:tc>
          <w:tcPr>
            <w:tcW w:type="dxa" w:w="2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GDPR-compliant privacy policy</w:t>
            </w:r>
          </w:p>
        </w:tc>
        <w:tc>
          <w:tcPr>
            <w:tcW w:type="dxa" w:w="45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Clearly state what data is collected (invoice data, debtor contact details), how long it is retained, client rights, and data residency (AWS London).</w:t>
            </w:r>
          </w:p>
        </w:tc>
        <w:tc>
          <w:tcPr>
            <w:tcW w:type="dxa" w:w="22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Free with ICO template. Legal review: £200–500.</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Data Processing Agreements (DPAs)</w:t>
            </w:r>
          </w:p>
        </w:tc>
        <w:tc>
          <w:tcPr>
            <w:tcW w:type="dxa" w:w="4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PayForce processes debtor personal data on behalf of clients. Each client signs a DPA. Standard template is sufficient.</w:t>
            </w:r>
          </w:p>
        </w:tc>
        <w:tc>
          <w:tcPr>
            <w:tcW w:type="dxa" w:w="22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Free template. Legal review recommended.</w:t>
            </w:r>
          </w:p>
        </w:tc>
      </w:tr>
      <w:tr>
        <w:tc>
          <w:tcPr>
            <w:tcW w:type="dxa" w:w="2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Terms of Service with liability disclaimer</w:t>
            </w:r>
          </w:p>
        </w:tc>
        <w:tc>
          <w:tcPr>
            <w:tcW w:type="dxa" w:w="45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"PayForce provides document generation and calculation tools only. This does not constitute legal advice. For specific legal disputes, consult a qualified solicitor." This is the critical legal protection.</w:t>
            </w:r>
          </w:p>
        </w:tc>
        <w:tc>
          <w:tcPr>
            <w:tcW w:type="dxa" w:w="22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Solicitor drafting: £500–1,500. Do not skip this.</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Professional indemnity insurance</w:t>
            </w:r>
          </w:p>
        </w:tc>
        <w:tc>
          <w:tcPr>
            <w:tcW w:type="dxa" w:w="4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Protects against claims arising from incorrect statutory interest calculations or letter errors. Essential before first paying client.</w:t>
            </w:r>
          </w:p>
        </w:tc>
        <w:tc>
          <w:tcPr>
            <w:tcW w:type="dxa" w:w="22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£500–£1,500/year for a startup. Hiscox, Markel, or Beazley cover UK tech startups.</w:t>
            </w:r>
          </w:p>
        </w:tc>
      </w:tr>
    </w:tbl>
    <w:p>
      <w:pPr>
        <w:spacing w:after="0" w:before="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0F6E56"/>
          <w:sz w:val="28"/>
          <w:szCs w:val="28"/>
        </w:rPr>
        <w:t xml:space="preserve">11.2 What you do NOT need</w:t>
      </w:r>
    </w:p>
    <w:p>
      <w:pPr>
        <w:pStyle w:val="ListParagraph"/>
        <w:numPr>
          <w:ilvl w:val="0"/>
          <w:numId w:val="2"/>
        </w:numPr>
        <w:spacing w:after="80" w:before="0"/>
      </w:pPr>
      <w:r>
        <w:rPr>
          <w:rFonts w:ascii="Arial" w:cs="Arial" w:eastAsia="Arial" w:hAnsi="Arial"/>
          <w:b/>
          <w:bCs/>
          <w:color w:val="1A1A1A"/>
          <w:sz w:val="22"/>
          <w:szCs w:val="22"/>
        </w:rPr>
        <w:t xml:space="preserve">SRA (Solicitors Regulation Authority) licence: </w:t>
      </w:r>
      <w:r>
        <w:rPr>
          <w:rFonts w:ascii="Arial" w:cs="Arial" w:eastAsia="Arial" w:hAnsi="Arial"/>
          <w:color w:val="1A1A1A"/>
          <w:sz w:val="22"/>
          <w:szCs w:val="22"/>
        </w:rPr>
        <w:t xml:space="preserve">PayForce generates template documents. It does not provide legal advice specific to any particular dispute. Chaser, Satago, and all AR automation tools operate on the same basis.</w:t>
      </w:r>
    </w:p>
    <w:p>
      <w:pPr>
        <w:pStyle w:val="ListParagraph"/>
        <w:numPr>
          <w:ilvl w:val="0"/>
          <w:numId w:val="2"/>
        </w:numPr>
        <w:spacing w:after="80" w:before="0"/>
      </w:pPr>
      <w:r>
        <w:rPr>
          <w:rFonts w:ascii="Arial" w:cs="Arial" w:eastAsia="Arial" w:hAnsi="Arial"/>
          <w:b/>
          <w:bCs/>
          <w:color w:val="1A1A1A"/>
          <w:sz w:val="22"/>
          <w:szCs w:val="22"/>
        </w:rPr>
        <w:t xml:space="preserve">FCA (Financial Conduct Authority) authorisation: </w:t>
      </w:r>
      <w:r>
        <w:rPr>
          <w:rFonts w:ascii="Arial" w:cs="Arial" w:eastAsia="Arial" w:hAnsi="Arial"/>
          <w:color w:val="1A1A1A"/>
          <w:sz w:val="22"/>
          <w:szCs w:val="22"/>
        </w:rPr>
        <w:t xml:space="preserve">PayForce is not a financial service, not insurance, and does not advance cash against invoices (that is Phase 2, handled by the partner, not PayForce).</w:t>
      </w:r>
    </w:p>
    <w:p>
      <w:pPr>
        <w:pStyle w:val="ListParagraph"/>
        <w:numPr>
          <w:ilvl w:val="0"/>
          <w:numId w:val="2"/>
        </w:numPr>
        <w:spacing w:after="80" w:before="0"/>
      </w:pPr>
      <w:r>
        <w:rPr>
          <w:rFonts w:ascii="Arial" w:cs="Arial" w:eastAsia="Arial" w:hAnsi="Arial"/>
          <w:b/>
          <w:bCs/>
          <w:color w:val="1A1A1A"/>
          <w:sz w:val="22"/>
          <w:szCs w:val="22"/>
        </w:rPr>
        <w:t xml:space="preserve">Any legal qualification for founding team: </w:t>
      </w:r>
      <w:r>
        <w:rPr>
          <w:rFonts w:ascii="Arial" w:cs="Arial" w:eastAsia="Arial" w:hAnsi="Arial"/>
          <w:color w:val="1A1A1A"/>
          <w:sz w:val="22"/>
          <w:szCs w:val="22"/>
        </w:rPr>
        <w:t xml:space="preserve">The statutory interest formula is public law. Applying a formula to a number is not legal practice.</w:t>
      </w:r>
    </w:p>
    <w:p>
      <w:pPr>
        <w:spacing w:after="0" w:before="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0F6E56"/>
          <w:sz w:val="28"/>
          <w:szCs w:val="28"/>
        </w:rPr>
        <w:t xml:space="preserve">11.3 The letter legality question — answered definitively</w:t>
      </w:r>
    </w:p>
    <w:p>
      <w:pPr>
        <w:spacing w:after="120" w:before="0"/>
      </w:pPr>
      <w:r>
        <w:rPr>
          <w:rFonts w:ascii="Arial" w:cs="Arial" w:eastAsia="Arial" w:hAnsi="Arial"/>
          <w:color w:val="1A1A1A"/>
          <w:sz w:val="22"/>
          <w:szCs w:val="22"/>
        </w:rPr>
        <w:t xml:space="preserve">This is the most common concern about PayForce: "Are we legally allowed to send a letter claiming statutory interest on behalf of a client?"</w:t>
      </w:r>
    </w:p>
    <w:p>
      <w:pPr>
        <w:spacing w:after="0" w:before="0"/>
      </w:pPr>
      <w:r>
        <w:rPr>
          <w:rFonts w:ascii="Arial" w:cs="Arial" w:eastAsia="Arial" w:hAnsi="Arial"/>
          <w:color w:val="1A1A1A"/>
          <w:sz w:val="22"/>
          <w:szCs w:val="22"/>
        </w:rPr>
        <w:t xml:space="preserve"/>
      </w:r>
    </w:p>
    <w:p>
      <w:pPr>
        <w:spacing w:after="120" w:before="0"/>
      </w:pPr>
      <w:r>
        <w:rPr>
          <w:rFonts w:ascii="Arial" w:cs="Arial" w:eastAsia="Arial" w:hAnsi="Arial"/>
          <w:color w:val="1A1A1A"/>
          <w:sz w:val="22"/>
          <w:szCs w:val="22"/>
        </w:rPr>
        <w:t xml:space="preserve">Yes, unconditionally. Here is why. The Late Payment of Commercial Debts Act 1998 gives every UK business the right to charge statutory interest on late B2B payments. That right belongs to the business — not to their solicitor. A business owner can write that letter themselves, have their accountant write it, or have software generate a template they then send. PayForce falls squarely in the third category.</w:t>
      </w:r>
    </w:p>
    <w:p>
      <w:pPr>
        <w:spacing w:after="0" w:before="0"/>
      </w:pPr>
      <w:r>
        <w:rPr>
          <w:rFonts w:ascii="Arial" w:cs="Arial" w:eastAsia="Arial" w:hAnsi="Arial"/>
          <w:color w:val="1A1A1A"/>
          <w:sz w:val="22"/>
          <w:szCs w:val="22"/>
        </w:rPr>
        <w:t xml:space="preserve"/>
      </w:r>
    </w:p>
    <w:p>
      <w:pPr>
        <w:spacing w:after="120" w:before="0"/>
      </w:pPr>
      <w:r>
        <w:rPr>
          <w:rFonts w:ascii="Arial" w:cs="Arial" w:eastAsia="Arial" w:hAnsi="Arial"/>
          <w:color w:val="1A1A1A"/>
          <w:sz w:val="22"/>
          <w:szCs w:val="22"/>
        </w:rPr>
        <w:t xml:space="preserve">The distinction that matters legally: PayForce does not represent the client. It does not write to the debtor on PayForce's letterhead. The letter is sent from the client's email address, in the client's name. PayForce is a document generation tool — the legal equivalent of Microsoft Word with a smart template. This is not a grey area.</w:t>
      </w:r>
    </w:p>
    <w:p>
      <w:r>
        <w:br/>
      </w:r>
    </w:p>
    <w:p>
      <w:pPr>
        <w:pStyle w:val="Heading1"/>
        <w:pBdr>
          <w:bottom w:val="single" w:color="0F6E56" w:sz="8" w:space="4"/>
        </w:pBdr>
        <w:spacing w:after="160" w:before="360"/>
      </w:pPr>
      <w:r>
        <w:rPr>
          <w:rFonts w:ascii="Arial" w:cs="Arial" w:eastAsia="Arial" w:hAnsi="Arial"/>
          <w:b/>
          <w:bCs/>
          <w:color w:val="1B3A6B"/>
          <w:sz w:val="36"/>
          <w:szCs w:val="36"/>
        </w:rPr>
        <w:t xml:space="preserve">12.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rPr>
          <w:tblHeader/>
        </w:trPr>
        <w:tc>
          <w:tcPr>
            <w:tcW w:type="dxa" w:w="22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Risk</w:t>
            </w:r>
          </w:p>
        </w:tc>
        <w:tc>
          <w:tcPr>
            <w:tcW w:type="dxa" w:w="12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Likelihood</w:t>
            </w:r>
          </w:p>
        </w:tc>
        <w:tc>
          <w:tcPr>
            <w:tcW w:type="dxa" w:w="12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Impact</w:t>
            </w:r>
          </w:p>
        </w:tc>
        <w:tc>
          <w:tcPr>
            <w:tcW w:type="dxa" w:w="476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Mitigation</w:t>
            </w:r>
          </w:p>
        </w:tc>
      </w:tr>
      <w:tr>
        <w:tc>
          <w:tcPr>
            <w:tcW w:type="dxa" w:w="2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Incorrect statutory interest calculation → client claims PayForce caused them loss</w:t>
            </w:r>
          </w:p>
        </w:tc>
        <w:tc>
          <w:tcPr>
            <w:tcW w:type="dxa" w:w="1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Low</w:t>
            </w:r>
          </w:p>
        </w:tc>
        <w:tc>
          <w:tcPr>
            <w:tcW w:type="dxa" w:w="1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Medium</w:t>
            </w:r>
          </w:p>
        </w:tc>
        <w:tc>
          <w:tcPr>
            <w:tcW w:type="dxa" w:w="47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Calculation engine based directly on Act formula. Professional indemnity insurance covers residual liability. ToS caps PayForce liability to subscription fees paid.</w:t>
            </w:r>
          </w:p>
        </w:tc>
      </w:tr>
      <w:tr>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Chaser adds legal escalation feature</w:t>
            </w:r>
          </w:p>
        </w:tc>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Medium (2–3 years)</w:t>
            </w:r>
          </w:p>
        </w:tc>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Medium</w:t>
            </w:r>
          </w:p>
        </w:tc>
        <w:tc>
          <w:tcPr>
            <w:tcW w:type="dxa" w:w="47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First-mover brand identity. Success fee model is a structural difference — Chaser cannot easily add without rebuilding pricing. Data moat from payment behaviour grows over time.</w:t>
            </w:r>
          </w:p>
        </w:tc>
      </w:tr>
      <w:tr>
        <w:tc>
          <w:tcPr>
            <w:tcW w:type="dxa" w:w="2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Xero marketplace application rejected</w:t>
            </w:r>
          </w:p>
        </w:tc>
        <w:tc>
          <w:tcPr>
            <w:tcW w:type="dxa" w:w="1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Medium (first attempt)</w:t>
            </w:r>
          </w:p>
        </w:tc>
        <w:tc>
          <w:tcPr>
            <w:tcW w:type="dxa" w:w="1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Medium</w:t>
            </w:r>
          </w:p>
        </w:tc>
        <w:tc>
          <w:tcPr>
            <w:tcW w:type="dxa" w:w="47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Start application in Week 0 of build. Allow 4–8 weeks for approval. Use direct Xero/QuickBooks integration regardless — marketplace listing is a bonus, not a dependency.</w:t>
            </w:r>
          </w:p>
        </w:tc>
      </w:tr>
      <w:tr>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SME churn during economic downturn</w:t>
            </w:r>
          </w:p>
        </w:tc>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Medium</w:t>
            </w:r>
          </w:p>
        </w:tc>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Medium</w:t>
            </w:r>
          </w:p>
        </w:tc>
        <w:tc>
          <w:tcPr>
            <w:tcW w:type="dxa" w:w="47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Success fee model means clients who are recovering invoices see clear ROI and do not cancel. Annual billing option at 2-month discount reduces churn. Accountant partnerships provide sticky B2B channel.</w:t>
            </w:r>
          </w:p>
        </w:tc>
      </w:tr>
      <w:tr>
        <w:tc>
          <w:tcPr>
            <w:tcW w:type="dxa" w:w="2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Letter sent to debtor after they have already paid (reconciliation error)</w:t>
            </w:r>
          </w:p>
        </w:tc>
        <w:tc>
          <w:tcPr>
            <w:tcW w:type="dxa" w:w="1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Low</w:t>
            </w:r>
          </w:p>
        </w:tc>
        <w:tc>
          <w:tcPr>
            <w:tcW w:type="dxa" w:w="1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High (relationship damage)</w:t>
            </w:r>
          </w:p>
        </w:tc>
        <w:tc>
          <w:tcPr>
            <w:tcW w:type="dxa" w:w="47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Real-time Xero sync before every send. Manual override available to client. No letter sent without client notification. Accounting software is source of truth.</w:t>
            </w:r>
          </w:p>
        </w:tc>
      </w:tr>
      <w:tr>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GDPR breach — debtor personal data exposed</w:t>
            </w:r>
          </w:p>
        </w:tc>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Very Low</w:t>
            </w:r>
          </w:p>
        </w:tc>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Very High</w:t>
            </w:r>
          </w:p>
        </w:tc>
        <w:tc>
          <w:tcPr>
            <w:tcW w:type="dxa" w:w="47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AWS London hosting. Encryption at rest and in transit. DPAs with all clients. ICO registered. Regular security reviews. No debtor data shared with third parties without consent.</w:t>
            </w:r>
          </w:p>
        </w:tc>
      </w:tr>
      <w:tr>
        <w:tc>
          <w:tcPr>
            <w:tcW w:type="dxa" w:w="2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Key person risk — Rafi unavailable during build</w:t>
            </w:r>
          </w:p>
        </w:tc>
        <w:tc>
          <w:tcPr>
            <w:tcW w:type="dxa" w:w="1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Low-Medium</w:t>
            </w:r>
          </w:p>
        </w:tc>
        <w:tc>
          <w:tcPr>
            <w:tcW w:type="dxa" w:w="12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High</w:t>
            </w:r>
          </w:p>
        </w:tc>
        <w:tc>
          <w:tcPr>
            <w:tcW w:type="dxa" w:w="47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Shaafi provides architectural backup. Document all code decisions. Build with standard stack (not exotic frameworks). Mustakim can handle QA continuity.</w:t>
            </w:r>
          </w:p>
        </w:tc>
      </w:tr>
    </w:tbl>
    <w:p>
      <w:r>
        <w:br/>
      </w:r>
    </w:p>
    <w:p>
      <w:pPr>
        <w:pStyle w:val="Heading1"/>
        <w:pBdr>
          <w:bottom w:val="single" w:color="0F6E56" w:sz="8" w:space="4"/>
        </w:pBdr>
        <w:spacing w:after="160" w:before="360"/>
      </w:pPr>
      <w:r>
        <w:rPr>
          <w:rFonts w:ascii="Arial" w:cs="Arial" w:eastAsia="Arial" w:hAnsi="Arial"/>
          <w:b/>
          <w:bCs/>
          <w:color w:val="1B3A6B"/>
          <w:sz w:val="36"/>
          <w:szCs w:val="36"/>
        </w:rPr>
        <w:t xml:space="preserve">13. Long-term Roadmap &amp; Data Moat</w:t>
      </w:r>
    </w:p>
    <w:p>
      <w:pPr>
        <w:pStyle w:val="Heading2"/>
        <w:spacing w:after="120" w:before="240"/>
      </w:pPr>
      <w:r>
        <w:rPr>
          <w:rFonts w:ascii="Arial" w:cs="Arial" w:eastAsia="Arial" w:hAnsi="Arial"/>
          <w:b/>
          <w:bCs/>
          <w:color w:val="0F6E56"/>
          <w:sz w:val="28"/>
          <w:szCs w:val="28"/>
        </w:rPr>
        <w:t xml:space="preserve">13.1 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300"/>
        <w:gridCol w:w="2060"/>
      </w:tblGrid>
      <w:tr>
        <w:trPr>
          <w:tblHeader/>
        </w:trPr>
        <w:tc>
          <w:tcPr>
            <w:tcW w:type="dxa" w:w="14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Phase</w:t>
            </w:r>
          </w:p>
        </w:tc>
        <w:tc>
          <w:tcPr>
            <w:tcW w:type="dxa" w:w="16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Timeline</w:t>
            </w:r>
          </w:p>
        </w:tc>
        <w:tc>
          <w:tcPr>
            <w:tcW w:type="dxa" w:w="43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Key deliverables</w:t>
            </w:r>
          </w:p>
        </w:tc>
        <w:tc>
          <w:tcPr>
            <w:tcW w:type="dxa" w:w="206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Revenue milestone</w:t>
            </w:r>
          </w:p>
        </w:tc>
      </w:tr>
      <w:tr>
        <w:tc>
          <w:tcPr>
            <w:tcW w:type="dxa" w:w="1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Phase 1 — MVP</w:t>
            </w:r>
          </w:p>
        </w:tc>
        <w:tc>
          <w:tcPr>
            <w:tcW w:type="dxa" w:w="1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Months 0–4</w:t>
            </w:r>
          </w:p>
        </w:tc>
        <w:tc>
          <w:tcPr>
            <w:tcW w:type="dxa" w:w="43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Free calculator, Xero/QBO/FreeAgent integration, 5-step escalation, statutory interest engine, legal letter generation, success fee tracking</w:t>
            </w:r>
          </w:p>
        </w:tc>
        <w:tc>
          <w:tcPr>
            <w:tcW w:type="dxa" w:w="20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£10K MRR</w:t>
            </w:r>
          </w:p>
        </w:tc>
      </w:tr>
      <w:tr>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Phase 2 — Platform</w:t>
            </w:r>
          </w:p>
        </w:tc>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Months 5–10</w:t>
            </w:r>
          </w:p>
        </w:tc>
        <w:tc>
          <w:tcPr>
            <w:tcW w:type="dxa" w:w="43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SMS reminders, credit risk scoring, invoice financing referral partner, accountant white-label dashboard, multi-user access, mobile app</w:t>
            </w:r>
          </w:p>
        </w:tc>
        <w:tc>
          <w:tcPr>
            <w:tcW w:type="dxa" w:w="20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£30K MRR</w:t>
            </w:r>
          </w:p>
        </w:tc>
      </w:tr>
      <w:tr>
        <w:tc>
          <w:tcPr>
            <w:tcW w:type="dxa" w:w="14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Phase 3 — Intelligence</w:t>
            </w:r>
          </w:p>
        </w:tc>
        <w:tc>
          <w:tcPr>
            <w:tcW w:type="dxa" w:w="1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Months 11–18</w:t>
            </w:r>
          </w:p>
        </w:tc>
        <w:tc>
          <w:tcPr>
            <w:tcW w:type="dxa" w:w="43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Predictive payment scoring (which clients are likely to pay late?), sector-specific risk benchmarks, debtor blacklist network, enterprise tier</w:t>
            </w:r>
          </w:p>
        </w:tc>
        <w:tc>
          <w:tcPr>
            <w:tcW w:type="dxa" w:w="20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£75K MRR</w:t>
            </w:r>
          </w:p>
        </w:tc>
      </w:tr>
      <w:tr>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Phase 4 — Expansion</w:t>
            </w:r>
          </w:p>
        </w:tc>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Months 19–30</w:t>
            </w:r>
          </w:p>
        </w:tc>
        <w:tc>
          <w:tcPr>
            <w:tcW w:type="dxa" w:w="43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Ireland expansion (similar legal framework), Scotland law deepening, Australia expansion (Late Payment Act equivalent), multi-jurisdiction engine</w:t>
            </w:r>
          </w:p>
        </w:tc>
        <w:tc>
          <w:tcPr>
            <w:tcW w:type="dxa" w:w="20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£150K+ MRR</w:t>
            </w:r>
          </w:p>
        </w:tc>
      </w:tr>
    </w:tbl>
    <w:p>
      <w:pPr>
        <w:spacing w:after="0" w:before="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0F6E56"/>
          <w:sz w:val="28"/>
          <w:szCs w:val="28"/>
        </w:rPr>
        <w:t xml:space="preserve">13.2 The data moat — the most valuable long-term asset</w:t>
      </w:r>
    </w:p>
    <w:p>
      <w:pPr>
        <w:spacing w:after="120" w:before="0"/>
      </w:pPr>
      <w:r>
        <w:rPr>
          <w:rFonts w:ascii="Arial" w:cs="Arial" w:eastAsia="Arial" w:hAnsi="Arial"/>
          <w:color w:val="1A1A1A"/>
          <w:sz w:val="22"/>
          <w:szCs w:val="22"/>
        </w:rPr>
        <w:t xml:space="preserve">Every invoice PayForce processes generates a data point: which sector, which invoice size, how many days overdue, which escalation step triggered payment, how long each step took. After 12 months and 400 clients, PayForce will have payment behaviour data that no competitor has.</w:t>
      </w:r>
    </w:p>
    <w:p>
      <w:pPr>
        <w:spacing w:after="0" w:before="0"/>
      </w:pPr>
      <w:r>
        <w:rPr>
          <w:rFonts w:ascii="Arial" w:cs="Arial" w:eastAsia="Arial" w:hAnsi="Arial"/>
          <w:color w:val="1A1A1A"/>
          <w:sz w:val="22"/>
          <w:szCs w:val="22"/>
        </w:rPr>
        <w:t xml:space="preserve"/>
      </w:r>
    </w:p>
    <w:p>
      <w:pPr>
        <w:spacing w:after="120" w:before="0"/>
      </w:pPr>
      <w:r>
        <w:rPr>
          <w:rFonts w:ascii="Arial" w:cs="Arial" w:eastAsia="Arial" w:hAnsi="Arial"/>
          <w:color w:val="1A1A1A"/>
          <w:sz w:val="22"/>
          <w:szCs w:val="22"/>
        </w:rPr>
        <w:t xml:space="preserve">This data becomes valuable in three specific ways over time:</w:t>
      </w:r>
    </w:p>
    <w:p>
      <w:pPr>
        <w:spacing w:after="0" w:before="0"/>
      </w:pPr>
      <w:r>
        <w:rPr>
          <w:rFonts w:ascii="Arial" w:cs="Arial" w:eastAsia="Arial" w:hAnsi="Arial"/>
          <w:color w:val="1A1A1A"/>
          <w:sz w:val="22"/>
          <w:szCs w:val="22"/>
        </w:rPr>
        <w:t xml:space="preserve"/>
      </w:r>
    </w:p>
    <w:p>
      <w:pPr>
        <w:pStyle w:val="ListParagraph"/>
        <w:numPr>
          <w:ilvl w:val="0"/>
          <w:numId w:val="2"/>
        </w:numPr>
        <w:spacing w:after="80" w:before="0"/>
      </w:pPr>
      <w:r>
        <w:rPr>
          <w:rFonts w:ascii="Arial" w:cs="Arial" w:eastAsia="Arial" w:hAnsi="Arial"/>
          <w:b/>
          <w:bCs/>
          <w:color w:val="1A1A1A"/>
          <w:sz w:val="22"/>
          <w:szCs w:val="22"/>
        </w:rPr>
        <w:t xml:space="preserve">Internal product improvement: </w:t>
      </w:r>
      <w:r>
        <w:rPr>
          <w:rFonts w:ascii="Arial" w:cs="Arial" w:eastAsia="Arial" w:hAnsi="Arial"/>
          <w:color w:val="1A1A1A"/>
          <w:sz w:val="22"/>
          <w:szCs w:val="22"/>
        </w:rPr>
        <w:t xml:space="preserve">PayForce's own escalation sequences get better — the system learns which letter tone, which send time, which phrasing triggers fastest payment for which type of debtor. This is a compounding competitive advantage.</w:t>
      </w:r>
    </w:p>
    <w:p>
      <w:pPr>
        <w:pStyle w:val="ListParagraph"/>
        <w:numPr>
          <w:ilvl w:val="0"/>
          <w:numId w:val="2"/>
        </w:numPr>
        <w:spacing w:after="80" w:before="0"/>
      </w:pPr>
      <w:r>
        <w:rPr>
          <w:rFonts w:ascii="Arial" w:cs="Arial" w:eastAsia="Arial" w:hAnsi="Arial"/>
          <w:b/>
          <w:bCs/>
          <w:color w:val="1A1A1A"/>
          <w:sz w:val="22"/>
          <w:szCs w:val="22"/>
        </w:rPr>
        <w:t xml:space="preserve">Predictive risk scoring (Phase 3): </w:t>
      </w:r>
      <w:r>
        <w:rPr>
          <w:rFonts w:ascii="Arial" w:cs="Arial" w:eastAsia="Arial" w:hAnsi="Arial"/>
          <w:color w:val="1A1A1A"/>
          <w:sz w:val="22"/>
          <w:szCs w:val="22"/>
        </w:rPr>
        <w:t xml:space="preserve">PayForce will be able to tell a new client: "Based on 400 similar construction invoices in London, this type of client pays at 35 days on average — start Step 3 earlier." No competitor will have this.</w:t>
      </w:r>
    </w:p>
    <w:p>
      <w:pPr>
        <w:pStyle w:val="ListParagraph"/>
        <w:numPr>
          <w:ilvl w:val="0"/>
          <w:numId w:val="2"/>
        </w:numPr>
        <w:spacing w:after="80" w:before="0"/>
      </w:pPr>
      <w:r>
        <w:rPr>
          <w:rFonts w:ascii="Arial" w:cs="Arial" w:eastAsia="Arial" w:hAnsi="Arial"/>
          <w:b/>
          <w:bCs/>
          <w:color w:val="1A1A1A"/>
          <w:sz w:val="22"/>
          <w:szCs w:val="22"/>
        </w:rPr>
        <w:t xml:space="preserve">External data licensing: </w:t>
      </w:r>
      <w:r>
        <w:rPr>
          <w:rFonts w:ascii="Arial" w:cs="Arial" w:eastAsia="Arial" w:hAnsi="Arial"/>
          <w:color w:val="1A1A1A"/>
          <w:sz w:val="22"/>
          <w:szCs w:val="22"/>
        </w:rPr>
        <w:t xml:space="preserve">After 2–3 years, credit insurers, invoice financiers, and accounting platforms will pay for anonymised UK payment behaviour data by sector, geography, and invoice size. This is a potential partnership revenue stream.</w:t>
      </w:r>
    </w:p>
    <w:p>
      <w:pPr>
        <w:spacing w:after="0" w:before="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0F6E56"/>
          <w:sz w:val="28"/>
          <w:szCs w:val="28"/>
        </w:rPr>
        <w:t xml:space="preserve">13.3 Why PayForce is evergreen — the key argument</w:t>
      </w:r>
    </w:p>
    <w:p>
      <w:pPr>
        <w:spacing w:after="120" w:before="0"/>
      </w:pPr>
      <w:r>
        <w:rPr>
          <w:rFonts w:ascii="Arial" w:cs="Arial" w:eastAsia="Arial" w:hAnsi="Arial"/>
          <w:color w:val="1A1A1A"/>
          <w:sz w:val="22"/>
          <w:szCs w:val="22"/>
        </w:rPr>
        <w:t xml:space="preserve">CompliDesk requires law changes to drive demand. ContentGuard requires Google algorithm updates. TariffNav requires trade policy volatility. PayForce requires only one thing: large companies paying small companies late. This has happened every year for at least 40 years. It will happen every year for the next 40. PayForce is the only product in the UK Reddit tracker that has structural, permanent, non-policy-dependent demand.</w:t>
      </w:r>
    </w:p>
    <w:p>
      <w:r>
        <w:br/>
      </w:r>
    </w:p>
    <w:p>
      <w:pPr>
        <w:pStyle w:val="Heading1"/>
        <w:pBdr>
          <w:bottom w:val="single" w:color="0F6E56" w:sz="8" w:space="4"/>
        </w:pBdr>
        <w:spacing w:after="160" w:before="360"/>
      </w:pPr>
      <w:r>
        <w:rPr>
          <w:rFonts w:ascii="Arial" w:cs="Arial" w:eastAsia="Arial" w:hAnsi="Arial"/>
          <w:b/>
          <w:bCs/>
          <w:color w:val="1B3A6B"/>
          <w:sz w:val="36"/>
          <w:szCs w:val="36"/>
        </w:rPr>
        <w:t xml:space="preserve">14. Key Decisions Made &amp; Still Pending</w:t>
      </w:r>
    </w:p>
    <w:p>
      <w:pPr>
        <w:pStyle w:val="Heading2"/>
        <w:spacing w:after="120" w:before="240"/>
      </w:pPr>
      <w:r>
        <w:rPr>
          <w:rFonts w:ascii="Arial" w:cs="Arial" w:eastAsia="Arial" w:hAnsi="Arial"/>
          <w:b/>
          <w:bCs/>
          <w:color w:val="0F6E56"/>
          <w:sz w:val="28"/>
          <w:szCs w:val="28"/>
        </w:rPr>
        <w:t xml:space="preserve">14.1 Decisions already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60"/>
      </w:tblGrid>
      <w:tr>
        <w:trPr>
          <w:tblHeader/>
        </w:trPr>
        <w:tc>
          <w:tcPr>
            <w:tcW w:type="dxa" w:w="26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Decision</w:t>
            </w:r>
          </w:p>
        </w:tc>
        <w:tc>
          <w:tcPr>
            <w:tcW w:type="dxa" w:w="25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What was decided</w:t>
            </w:r>
          </w:p>
        </w:tc>
        <w:tc>
          <w:tcPr>
            <w:tcW w:type="dxa" w:w="426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Rationale</w:t>
            </w:r>
          </w:p>
        </w:tc>
      </w:tr>
      <w:tr>
        <w:tc>
          <w:tcPr>
            <w:tcW w:type="dxa" w:w="2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Build PayForce, not CompliDesk or ContentGuard</w:t>
            </w:r>
          </w:p>
        </w:tc>
        <w:tc>
          <w:tcPr>
            <w:tcW w:type="dxa" w:w="25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PayForce is the primary product for this team</w:t>
            </w:r>
          </w:p>
        </w:tc>
        <w:tc>
          <w:tcPr>
            <w:tcW w:type="dxa" w:w="42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CompliDesk needs employment law consultant (human dependency). ContentGuard depends on Google algorithm (event-driven risk). PayForce is pure software with permanent, evergreen demand.</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Success fee model alongside subscription</w:t>
            </w:r>
          </w:p>
        </w:tc>
        <w:tc>
          <w:tcPr>
            <w:tcW w:type="dxa" w:w="2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1–2% of recovered invoice value, charged at month end</w:t>
            </w:r>
          </w:p>
        </w:tc>
        <w:tc>
          <w:tcPr>
            <w:tcW w:type="dxa" w:w="42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Creates perfect incentive alignment with client. Converts the sales objection ("does it work?") into risk-reversal. Revenue ceiling significantly higher than subscription-only.</w:t>
            </w:r>
          </w:p>
        </w:tc>
      </w:tr>
      <w:tr>
        <w:tc>
          <w:tcPr>
            <w:tcW w:type="dxa" w:w="2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Free statutory interest calculator before MVP</w:t>
            </w:r>
          </w:p>
        </w:tc>
        <w:tc>
          <w:tcPr>
            <w:tcW w:type="dxa" w:w="25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Build the calculator in Week 1, before any backend code</w:t>
            </w:r>
          </w:p>
        </w:tc>
        <w:tc>
          <w:tcPr>
            <w:tcW w:type="dxa" w:w="42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Lead magnet. SEO asset. Organic acquisition engine. Captures warm high-intent traffic. Costs 3–5 days of Rafi's time and pays dividends indefinitely.</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Guidance only — not legal advice</w:t>
            </w:r>
          </w:p>
        </w:tc>
        <w:tc>
          <w:tcPr>
            <w:tcW w:type="dxa" w:w="2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PayForce generates document templates; does not provide legal advice</w:t>
            </w:r>
          </w:p>
        </w:tc>
        <w:tc>
          <w:tcPr>
            <w:tcW w:type="dxa" w:w="42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Removes the SRA licence requirement. Allows immediate launch. Same legal basis as Chaser, Satago, and all competitor tools.</w:t>
            </w:r>
          </w:p>
        </w:tc>
      </w:tr>
      <w:tr>
        <w:tc>
          <w:tcPr>
            <w:tcW w:type="dxa" w:w="26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AWS London (eu-west-2) hosting</w:t>
            </w:r>
          </w:p>
        </w:tc>
        <w:tc>
          <w:tcPr>
            <w:tcW w:type="dxa" w:w="25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UK data residency for GDPR compliance. Shaafi has deep AWS expertise from Amazon.</w:t>
            </w:r>
          </w:p>
        </w:tc>
        <w:tc>
          <w:tcPr>
            <w:tcW w:type="dxa" w:w="42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Dual benefit: compliance and execution speed (team is already proficient in AWS).</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Xero marketplace application in Week 0</w:t>
            </w:r>
          </w:p>
        </w:tc>
        <w:tc>
          <w:tcPr>
            <w:tcW w:type="dxa" w:w="2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Shaafi initiates application during the first week of build</w:t>
            </w:r>
          </w:p>
        </w:tc>
        <w:tc>
          <w:tcPr>
            <w:tcW w:type="dxa" w:w="42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Approval takes 4–8 weeks. Cannot leave until after launch. Must run in parallel with build.</w:t>
            </w:r>
          </w:p>
        </w:tc>
      </w:tr>
    </w:tbl>
    <w:p>
      <w:pPr>
        <w:spacing w:after="0" w:before="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0F6E56"/>
          <w:sz w:val="28"/>
          <w:szCs w:val="28"/>
        </w:rPr>
        <w:t xml:space="preserve">14.2 Decisions still pending — must resolve before build starts</w:t>
      </w:r>
    </w:p>
    <w:p>
      <w:pPr>
        <w:pStyle w:val="ListParagraph"/>
        <w:numPr>
          <w:ilvl w:val="0"/>
          <w:numId w:val="2"/>
        </w:numPr>
        <w:spacing w:after="80" w:before="0"/>
      </w:pPr>
      <w:r>
        <w:rPr>
          <w:rFonts w:ascii="Arial" w:cs="Arial" w:eastAsia="Arial" w:hAnsi="Arial"/>
          <w:b/>
          <w:bCs/>
          <w:color w:val="1A1A1A"/>
          <w:sz w:val="22"/>
          <w:szCs w:val="22"/>
        </w:rPr>
        <w:t xml:space="preserve">Xero partner registration: </w:t>
      </w:r>
      <w:r>
        <w:rPr>
          <w:rFonts w:ascii="Arial" w:cs="Arial" w:eastAsia="Arial" w:hAnsi="Arial"/>
          <w:color w:val="1A1A1A"/>
          <w:sz w:val="22"/>
          <w:szCs w:val="22"/>
        </w:rPr>
        <w:t xml:space="preserve">Has Shaafi started the Xero developer account and partner application? This is Week 0 critical path.</w:t>
      </w:r>
    </w:p>
    <w:p>
      <w:pPr>
        <w:pStyle w:val="ListParagraph"/>
        <w:numPr>
          <w:ilvl w:val="0"/>
          <w:numId w:val="2"/>
        </w:numPr>
        <w:spacing w:after="80" w:before="0"/>
      </w:pPr>
      <w:r>
        <w:rPr>
          <w:rFonts w:ascii="Arial" w:cs="Arial" w:eastAsia="Arial" w:hAnsi="Arial"/>
          <w:b/>
          <w:bCs/>
          <w:color w:val="1A1A1A"/>
          <w:sz w:val="22"/>
          <w:szCs w:val="22"/>
        </w:rPr>
        <w:t xml:space="preserve">Professional indemnity insurer: </w:t>
      </w:r>
      <w:r>
        <w:rPr>
          <w:rFonts w:ascii="Arial" w:cs="Arial" w:eastAsia="Arial" w:hAnsi="Arial"/>
          <w:color w:val="1A1A1A"/>
          <w:sz w:val="22"/>
          <w:szCs w:val="22"/>
        </w:rPr>
        <w:t xml:space="preserve">Which insurer? Get quotes from Hiscox, Markel, and Beazley. Required before first paying client. Do not delay this.</w:t>
      </w:r>
    </w:p>
    <w:p>
      <w:pPr>
        <w:pStyle w:val="ListParagraph"/>
        <w:numPr>
          <w:ilvl w:val="0"/>
          <w:numId w:val="2"/>
        </w:numPr>
        <w:spacing w:after="80" w:before="0"/>
      </w:pPr>
      <w:r>
        <w:rPr>
          <w:rFonts w:ascii="Arial" w:cs="Arial" w:eastAsia="Arial" w:hAnsi="Arial"/>
          <w:b/>
          <w:bCs/>
          <w:color w:val="1A1A1A"/>
          <w:sz w:val="22"/>
          <w:szCs w:val="22"/>
        </w:rPr>
        <w:t xml:space="preserve">UK bank account and Stripe account: </w:t>
      </w:r>
      <w:r>
        <w:rPr>
          <w:rFonts w:ascii="Arial" w:cs="Arial" w:eastAsia="Arial" w:hAnsi="Arial"/>
          <w:color w:val="1A1A1A"/>
          <w:sz w:val="22"/>
          <w:szCs w:val="22"/>
        </w:rPr>
        <w:t xml:space="preserve">PayForce Ltd must be registered and a business bank account opened before Stripe can be configured for subscription billing.</w:t>
      </w:r>
    </w:p>
    <w:p>
      <w:pPr>
        <w:pStyle w:val="ListParagraph"/>
        <w:numPr>
          <w:ilvl w:val="0"/>
          <w:numId w:val="2"/>
        </w:numPr>
        <w:spacing w:after="80" w:before="0"/>
      </w:pPr>
      <w:r>
        <w:rPr>
          <w:rFonts w:ascii="Arial" w:cs="Arial" w:eastAsia="Arial" w:hAnsi="Arial"/>
          <w:b/>
          <w:bCs/>
          <w:color w:val="1A1A1A"/>
          <w:sz w:val="22"/>
          <w:szCs w:val="22"/>
        </w:rPr>
        <w:t xml:space="preserve">Success fee percentage: </w:t>
      </w:r>
      <w:r>
        <w:rPr>
          <w:rFonts w:ascii="Arial" w:cs="Arial" w:eastAsia="Arial" w:hAnsi="Arial"/>
          <w:color w:val="1A1A1A"/>
          <w:sz w:val="22"/>
          <w:szCs w:val="22"/>
        </w:rPr>
        <w:t xml:space="preserve">Is it 1% flat, 2% flat, or tiered (1% for invoices under £10K, 2% for larger)? Decide before launch to avoid repricing awkwardness with early customers.</w:t>
      </w:r>
    </w:p>
    <w:p>
      <w:pPr>
        <w:pStyle w:val="ListParagraph"/>
        <w:numPr>
          <w:ilvl w:val="0"/>
          <w:numId w:val="2"/>
        </w:numPr>
        <w:spacing w:after="80" w:before="0"/>
      </w:pPr>
      <w:r>
        <w:rPr>
          <w:rFonts w:ascii="Arial" w:cs="Arial" w:eastAsia="Arial" w:hAnsi="Arial"/>
          <w:b/>
          <w:bCs/>
          <w:color w:val="1A1A1A"/>
          <w:sz w:val="22"/>
          <w:szCs w:val="22"/>
        </w:rPr>
        <w:t xml:space="preserve">QuickBooks vs FreeAgent priority: </w:t>
      </w:r>
      <w:r>
        <w:rPr>
          <w:rFonts w:ascii="Arial" w:cs="Arial" w:eastAsia="Arial" w:hAnsi="Arial"/>
          <w:color w:val="1A1A1A"/>
          <w:sz w:val="22"/>
          <w:szCs w:val="22"/>
        </w:rPr>
        <w:t xml:space="preserve">After Xero (highest priority), which integration comes next? QuickBooks is more common globally; FreeAgent is popular with UK freelancers and accountants.</w:t>
      </w:r>
    </w:p>
    <w:p>
      <w:pPr>
        <w:pStyle w:val="ListParagraph"/>
        <w:numPr>
          <w:ilvl w:val="0"/>
          <w:numId w:val="2"/>
        </w:numPr>
        <w:spacing w:after="80" w:before="0"/>
      </w:pPr>
      <w:r>
        <w:rPr>
          <w:rFonts w:ascii="Arial" w:cs="Arial" w:eastAsia="Arial" w:hAnsi="Arial"/>
          <w:b/>
          <w:bCs/>
          <w:color w:val="1A1A1A"/>
          <w:sz w:val="22"/>
          <w:szCs w:val="22"/>
        </w:rPr>
        <w:t xml:space="preserve">First client target for Shaafi: </w:t>
      </w:r>
      <w:r>
        <w:rPr>
          <w:rFonts w:ascii="Arial" w:cs="Arial" w:eastAsia="Arial" w:hAnsi="Arial"/>
          <w:color w:val="1A1A1A"/>
          <w:sz w:val="22"/>
          <w:szCs w:val="22"/>
        </w:rPr>
        <w:t xml:space="preserve">Who specifically in Shaafi's professional network is the first warm outreach call? Identify by name before build starts. First customer should come from a warm relationship, not cold outreach.</w:t>
      </w:r>
    </w:p>
    <w:p>
      <w:r>
        <w:br/>
      </w:r>
    </w:p>
    <w:p>
      <w:pPr>
        <w:pStyle w:val="Heading1"/>
        <w:pBdr>
          <w:bottom w:val="single" w:color="0F6E56" w:sz="8" w:space="4"/>
        </w:pBdr>
        <w:spacing w:after="160" w:before="360"/>
      </w:pPr>
      <w:r>
        <w:rPr>
          <w:rFonts w:ascii="Arial" w:cs="Arial" w:eastAsia="Arial" w:hAnsi="Arial"/>
          <w:b/>
          <w:bCs/>
          <w:color w:val="1B3A6B"/>
          <w:sz w:val="36"/>
          <w:szCs w:val="36"/>
        </w:rPr>
        <w:t xml:space="preserve">15. Appendix — Key Data Sources &amp;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Source</w:t>
            </w:r>
          </w:p>
        </w:tc>
        <w:tc>
          <w:tcPr>
            <w:tcW w:type="dxa" w:w="456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Key finding used</w:t>
            </w:r>
          </w:p>
        </w:tc>
        <w:tc>
          <w:tcPr>
            <w:tcW w:type="dxa" w:w="1800"/>
            <w:tcBorders>
              <w:top w:val="single" w:color="D3D1C7" w:sz="4"/>
              <w:left w:val="single" w:color="D3D1C7" w:sz="4"/>
              <w:bottom w:val="single" w:color="D3D1C7" w:sz="4"/>
              <w:right w:val="single" w:color="D3D1C7" w:sz="4"/>
            </w:tcBorders>
            <w:shd w:fill="1B3A6B"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Date</w:t>
            </w:r>
          </w:p>
        </w:tc>
      </w:tr>
      <w:tr>
        <w:tc>
          <w:tcPr>
            <w:tcW w:type="dxa" w:w="30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Chaser / Xero UK</w:t>
            </w:r>
          </w:p>
        </w:tc>
        <w:tc>
          <w:tcPr>
            <w:tcW w:type="dxa" w:w="45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£55 billion in overdue B2B invoices owed to UK SMEs collectively</w:t>
            </w:r>
          </w:p>
        </w:tc>
        <w:tc>
          <w:tcPr>
            <w:tcW w:type="dxa" w:w="18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2025</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Chaser platform data</w:t>
            </w:r>
          </w:p>
        </w:tc>
        <w:tc>
          <w:tcPr>
            <w:tcW w:type="dxa" w:w="45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Average SME has £38,000 in outstanding payments at any time; users get paid 54+ days sooner</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2025</w:t>
            </w:r>
          </w:p>
        </w:tc>
      </w:tr>
      <w:tr>
        <w:tc>
          <w:tcPr>
            <w:tcW w:type="dxa" w:w="30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Equisettle.co.uk</w:t>
            </w:r>
          </w:p>
        </w:tc>
        <w:tc>
          <w:tcPr>
            <w:tcW w:type="dxa" w:w="45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Late payments cost UK businesses £2.4B annually in mental health impacts; £80–£150K per company per year</w:t>
            </w:r>
          </w:p>
        </w:tc>
        <w:tc>
          <w:tcPr>
            <w:tcW w:type="dxa" w:w="18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2026</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FSB (Federation of Small Businesses)</w:t>
            </w:r>
          </w:p>
        </w:tc>
        <w:tc>
          <w:tcPr>
            <w:tcW w:type="dxa" w:w="45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400,000 UK businesses at insolvency risk directly due to late payments; 30% cite cash flow as biggest challenge</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2025–2026</w:t>
            </w:r>
          </w:p>
        </w:tc>
      </w:tr>
      <w:tr>
        <w:tc>
          <w:tcPr>
            <w:tcW w:type="dxa" w:w="30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AccountingWEB / Chaser G2 reviews</w:t>
            </w:r>
          </w:p>
        </w:tc>
        <w:tc>
          <w:tcPr>
            <w:tcW w:type="dxa" w:w="45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"Would be great to link to a debt collection service" — recurring complaint validating PayForce positioning</w:t>
            </w:r>
          </w:p>
        </w:tc>
        <w:tc>
          <w:tcPr>
            <w:tcW w:type="dxa" w:w="18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2024–2025</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Late Payment of Commercial Debts (Interest) Act 1998</w:t>
            </w:r>
          </w:p>
        </w:tc>
        <w:tc>
          <w:tcPr>
            <w:tcW w:type="dxa" w:w="45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Statutory interest = 8% + BoE base rate. Fixed compensation: £40/£70/£100 by invoice size. Daily interest accrual.</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1998 (amended)</w:t>
            </w:r>
          </w:p>
        </w:tc>
      </w:tr>
      <w:tr>
        <w:tc>
          <w:tcPr>
            <w:tcW w:type="dxa" w:w="30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Tratta.io research</w:t>
            </w:r>
          </w:p>
        </w:tc>
        <w:tc>
          <w:tcPr>
            <w:tcW w:type="dxa" w:w="45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Debt Collection Software market: $6.56B (2026) → $13.77B (2034), driven by automation and compliance demand</w:t>
            </w:r>
          </w:p>
        </w:tc>
        <w:tc>
          <w:tcPr>
            <w:tcW w:type="dxa" w:w="18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February 2026</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Equisettle AR software guide</w:t>
            </w:r>
          </w:p>
        </w:tc>
        <w:tc>
          <w:tcPr>
            <w:tcW w:type="dxa" w:w="45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UK AR automation market: pricing from free (Satago basic) to £2,000+/month (enterprise). Most UK SMEs spend £75–£350/month.</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2026</w:t>
            </w:r>
          </w:p>
        </w:tc>
      </w:tr>
      <w:tr>
        <w:tc>
          <w:tcPr>
            <w:tcW w:type="dxa" w:w="30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r/SmallBusinessUK (Reddit)</w:t>
            </w:r>
          </w:p>
        </w:tc>
        <w:tc>
          <w:tcPr>
            <w:tcW w:type="dxa" w:w="45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Weekly threads: "My client owes me £X for Y months. What do I do?" — consistent, recurring demand signal</w:t>
            </w:r>
          </w:p>
        </w:tc>
        <w:tc>
          <w:tcPr>
            <w:tcW w:type="dxa" w:w="18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Ongoing</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r/LegalAdviceUK (Reddit)</w:t>
            </w:r>
          </w:p>
        </w:tc>
        <w:tc>
          <w:tcPr>
            <w:tcW w:type="dxa" w:w="45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Late payment questions weekly; users unaware of statutory interest rights; emotional signal high</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Ongoing</w:t>
            </w:r>
          </w:p>
        </w:tc>
      </w:tr>
      <w:tr>
        <w:tc>
          <w:tcPr>
            <w:tcW w:type="dxa" w:w="30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UK Government (gov.uk)</w:t>
            </w:r>
          </w:p>
        </w:tc>
        <w:tc>
          <w:tcPr>
            <w:tcW w:type="dxa" w:w="45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Payment terms tightening: 60 → 45 days max. Small Business Commissioner enforcement powers expanding from 2026</w:t>
            </w:r>
          </w:p>
        </w:tc>
        <w:tc>
          <w:tcPr>
            <w:tcW w:type="dxa" w:w="18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2025–2026</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NHS / ONS April 2026</w:t>
            </w:r>
          </w:p>
        </w:tc>
        <w:tc>
          <w:tcPr>
            <w:tcW w:type="dxa" w:w="45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Employer NI rate increased from April 2026. Adds £1,000–£3,000+/year per employee for SMEs. Tightens cash flow further.</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April 2026</w:t>
            </w:r>
          </w:p>
        </w:tc>
      </w:tr>
      <w:tr>
        <w:tc>
          <w:tcPr>
            <w:tcW w:type="dxa" w:w="30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IBISWorld UK</w:t>
            </w:r>
          </w:p>
        </w:tc>
        <w:tc>
          <w:tcPr>
            <w:tcW w:type="dxa" w:w="456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Construction, recruitment, and professional services sectors have highest average payment delays (45–90 days)</w:t>
            </w:r>
          </w:p>
        </w:tc>
        <w:tc>
          <w:tcPr>
            <w:tcW w:type="dxa" w:w="1800"/>
            <w:tcBorders>
              <w:top w:val="single" w:color="D3D1C7" w:sz="4"/>
              <w:left w:val="single" w:color="D3D1C7" w:sz="4"/>
              <w:bottom w:val="single" w:color="D3D1C7" w:sz="4"/>
              <w:right w:val="single" w:color="D3D1C7" w:sz="4"/>
            </w:tcBorders>
            <w:shd w:fill="E6F1FB" w:val="clear"/>
            <w:tcMar>
              <w:top w:type="dxa" w:w="80"/>
              <w:left w:type="dxa" w:w="140"/>
              <w:bottom w:type="dxa" w:w="80"/>
              <w:right w:type="dxa" w:w="140"/>
            </w:tcMar>
            <w:vAlign w:val="center"/>
          </w:tcPr>
          <w:p>
            <w:pPr>
              <w:spacing w:after="0" w:before="0"/>
            </w:pPr>
            <w:r>
              <w:rPr>
                <w:rFonts w:ascii="Arial" w:cs="Arial" w:eastAsia="Arial" w:hAnsi="Arial"/>
                <w:b w:val="false"/>
                <w:bCs w:val="false"/>
                <w:color w:val="1A1A1A"/>
                <w:sz w:val="20"/>
                <w:szCs w:val="20"/>
              </w:rPr>
              <w:t xml:space="preserve">2025</w:t>
            </w:r>
          </w:p>
        </w:tc>
      </w:tr>
    </w:tbl>
    <w:p>
      <w:pPr>
        <w:spacing w:after="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0F6E56" w:sz="16"/>
              <w:bottom w:val="nil"/>
              <w:right w:val="nil"/>
            </w:tcBorders>
            <w:shd w:fill="E1F5EE" w:val="clear"/>
            <w:tcMar>
              <w:top w:type="dxa" w:w="100"/>
              <w:left w:type="dxa" w:w="200"/>
              <w:bottom w:type="dxa" w:w="100"/>
              <w:right w:type="dxa" w:w="140"/>
            </w:tcMar>
          </w:tcPr>
          <w:p>
            <w:pPr>
              <w:spacing w:after="80" w:before="0"/>
            </w:pPr>
            <w:r>
              <w:rPr>
                <w:rFonts w:ascii="Arial" w:cs="Arial" w:eastAsia="Arial" w:hAnsi="Arial"/>
                <w:b/>
                <w:bCs/>
                <w:color w:val="1B3A6B"/>
                <w:sz w:val="22"/>
                <w:szCs w:val="22"/>
              </w:rPr>
              <w:t xml:space="preserve">Document prepared: </w:t>
            </w:r>
            <w:r>
              <w:rPr>
                <w:rFonts w:ascii="Arial" w:cs="Arial" w:eastAsia="Arial" w:hAnsi="Arial"/>
                <w:color w:val="1B3A6B"/>
                <w:sz w:val="22"/>
                <w:szCs w:val="22"/>
              </w:rPr>
              <w:t xml:space="preserve">April 2026</w:t>
            </w:r>
          </w:p>
          <w:p>
            <w:pPr>
              <w:spacing w:after="80" w:before="0"/>
            </w:pPr>
            <w:r>
              <w:rPr>
                <w:rFonts w:ascii="Arial" w:cs="Arial" w:eastAsia="Arial" w:hAnsi="Arial"/>
                <w:b/>
                <w:bCs/>
                <w:color w:val="1B3A6B"/>
                <w:sz w:val="22"/>
                <w:szCs w:val="22"/>
              </w:rPr>
              <w:t xml:space="preserve">Next review: </w:t>
            </w:r>
            <w:r>
              <w:rPr>
                <w:rFonts w:ascii="Arial" w:cs="Arial" w:eastAsia="Arial" w:hAnsi="Arial"/>
                <w:color w:val="1B3A6B"/>
                <w:sz w:val="22"/>
                <w:szCs w:val="22"/>
              </w:rPr>
              <w:t xml:space="preserve">July 2026 — update with beta launch results, Xero marketplace status, and first 20 client feedback</w:t>
            </w:r>
          </w:p>
          <w:p>
            <w:pPr>
              <w:spacing w:after="80" w:before="0"/>
            </w:pPr>
            <w:r>
              <w:rPr>
                <w:rFonts w:ascii="Arial" w:cs="Arial" w:eastAsia="Arial" w:hAnsi="Arial"/>
                <w:b/>
                <w:bCs/>
                <w:color w:val="1B3A6B"/>
                <w:sz w:val="22"/>
                <w:szCs w:val="22"/>
              </w:rPr>
              <w:t xml:space="preserve">Document owner: </w:t>
            </w:r>
            <w:r>
              <w:rPr>
                <w:rFonts w:ascii="Arial" w:cs="Arial" w:eastAsia="Arial" w:hAnsi="Arial"/>
                <w:color w:val="1B3A6B"/>
                <w:sz w:val="22"/>
                <w:szCs w:val="22"/>
              </w:rPr>
              <w:t xml:space="preserve">Rafi, Mustakim &amp; Shaafi — PayForce founding team</w:t>
            </w:r>
          </w:p>
          <w:p>
            <w:pPr>
              <w:spacing w:after="0" w:before="0"/>
            </w:pPr>
            <w:r>
              <w:rPr>
                <w:rFonts w:ascii="Arial" w:cs="Arial" w:eastAsia="Arial" w:hAnsi="Arial"/>
                <w:b/>
                <w:bCs/>
                <w:color w:val="1B3A6B"/>
                <w:sz w:val="22"/>
                <w:szCs w:val="22"/>
              </w:rPr>
              <w:t xml:space="preserve">Classification: </w:t>
            </w:r>
            <w:r>
              <w:rPr>
                <w:rFonts w:ascii="Arial" w:cs="Arial" w:eastAsia="Arial" w:hAnsi="Arial"/>
                <w:color w:val="1B3A6B"/>
                <w:sz w:val="22"/>
                <w:szCs w:val="22"/>
              </w:rPr>
              <w:t xml:space="preserve">Internal / Confidential — do not share outside the founding team</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6" w:space="4"/>
      </w:pBdr>
      <w:tabs>
        <w:tab w:val="right" w:pos="9360"/>
      </w:tabs>
      <w:spacing w:after="0" w:before="80"/>
    </w:pPr>
    <w:r>
      <w:rPr>
        <w:rFonts w:ascii="Arial" w:cs="Arial" w:eastAsia="Arial" w:hAnsi="Arial"/>
        <w:color w:val="5F5E5A"/>
        <w:sz w:val="18"/>
        <w:szCs w:val="18"/>
      </w:rPr>
      <w:t xml:space="preserve">PayForce | Build Reference 2026</w:t>
    </w:r>
    <w:r>
      <w:rPr>
        <w:rFonts w:ascii="Arial" w:cs="Arial" w:eastAsia="Arial" w:hAnsi="Arial"/>
        <w:sz w:val="18"/>
        <w:szCs w:val="18"/>
      </w:rPr>
      <w:t xml:space="preserve">	</w:t>
    </w:r>
    <w:r>
      <w:rPr>
        <w:rFonts w:ascii="Arial" w:cs="Arial" w:eastAsia="Arial" w:hAnsi="Arial"/>
        <w:color w:val="5F5E5A"/>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6" w:space="4"/>
      </w:pBdr>
      <w:spacing w:after="80" w:before="0"/>
    </w:pPr>
    <w:r>
      <w:rPr>
        <w:rFonts w:ascii="Arial" w:cs="Arial" w:eastAsia="Arial" w:hAnsi="Arial"/>
        <w:color w:val="5F5E5A"/>
        <w:sz w:val="18"/>
        <w:szCs w:val="18"/>
      </w:rPr>
      <w:t xml:space="preserve">PayForce — Product Intelligence Document</w:t>
    </w:r>
    <w:r>
      <w:rPr>
        <w:rFonts w:ascii="Arial" w:cs="Arial" w:eastAsia="Arial" w:hAnsi="Arial"/>
        <w:color w:val="D3D1C7"/>
        <w:sz w:val="18"/>
        <w:szCs w:val="18"/>
      </w:rPr>
      <w:t xml:space="preserve">  |  Confidential — Internal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0"/>
        <w:ind w:left="540" w:hanging="260"/>
      </w:pPr>
    </w:lvl>
  </w:abstractNum>
  <w:abstractNum w:abstractNumId="3" w15:restartNumberingAfterBreak="0">
    <w:multiLevelType w:val="hybridMultilevel"/>
    <w:lvl w:ilvl="0" w15:tentative="1">
      <w:start w:val="1"/>
      <w:numFmt w:val="decimal"/>
      <w:lvlText w:val="%1."/>
      <w:lvlJc w:val="left"/>
      <w:pPr>
        <w:spacing w:after="80" w:before="0"/>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F6E5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2026-04-06T14:25:16.575Z</dcterms:created>
  <dcterms:modified xsi:type="dcterms:W3CDTF">2026-04-06T14:25:16.576Z</dcterms:modified>
</cp:coreProperties>
</file>

<file path=docProps/custom.xml><?xml version="1.0" encoding="utf-8"?>
<Properties xmlns="http://schemas.openxmlformats.org/officeDocument/2006/custom-properties" xmlns:vt="http://schemas.openxmlformats.org/officeDocument/2006/docPropsVTypes"/>
</file>