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400"/>
        <w:jc w:val="center"/>
      </w:pPr>
      <w:r>
        <w:rPr>
          <w:rFonts w:ascii="Segoe UI" w:cs="Segoe UI" w:eastAsia="Segoe UI" w:hAnsi="Segoe UI"/>
          <w:b/>
          <w:bCs/>
          <w:color w:val="772281"/>
          <w:sz w:val="28"/>
          <w:szCs w:val="28"/>
        </w:rPr>
        <w:t xml:space="preserve">BANQUE DE DEVELOPPEMENT LOCAL</w:t>
      </w:r>
    </w:p>
    <w:p>
      <w:pPr>
        <w:spacing w:after="300" w:before="0"/>
        <w:jc w:val="center"/>
      </w:pPr>
      <w:r>
        <w:rPr>
          <w:rFonts w:ascii="Segoe UI" w:cs="Segoe UI" w:eastAsia="Segoe UI" w:hAnsi="Segoe UI"/>
          <w:b/>
          <w:bCs/>
          <w:color w:val="F9B307"/>
          <w:sz w:val="22"/>
          <w:szCs w:val="22"/>
        </w:rPr>
        <w:t xml:space="preserve">SYSTEME CENTRAL RTGS &amp; E-BANKING</w:t>
      </w:r>
    </w:p>
    <w:p>
      <w:pPr>
        <w:spacing w:after="150" w:before="200"/>
        <w:jc w:val="center"/>
      </w:pPr>
      <w:r>
        <w:rPr>
          <w:rFonts w:ascii="Segoe UI" w:cs="Segoe UI" w:eastAsia="Segoe UI" w:hAnsi="Segoe UI"/>
          <w:b/>
          <w:bCs/>
          <w:color w:val="0F172A"/>
          <w:sz w:val="40"/>
          <w:szCs w:val="40"/>
        </w:rPr>
        <w:t xml:space="preserve">GUIDE TECHNIQUE D'ARCHITECTURE ET DIAGRAMMES</w:t>
      </w:r>
    </w:p>
    <w:p>
      <w:pPr>
        <w:spacing w:after="400" w:before="0"/>
        <w:jc w:val="center"/>
      </w:pPr>
      <w:r>
        <w:rPr>
          <w:rFonts w:ascii="Segoe UI" w:cs="Segoe UI" w:eastAsia="Segoe UI" w:hAnsi="Segoe UI"/>
          <w:i/>
          <w:iCs/>
          <w:color w:val="475569"/>
          <w:sz w:val="24"/>
          <w:szCs w:val="24"/>
        </w:rPr>
        <w:t xml:space="preserve">Plateforme BDL RTGS E-Banking — Moteur EDI, Ordonnancement OD &amp; Télécompensation SWIFT MT103</w:t>
      </w:r>
    </w:p>
    <w:tbl>
      <w:tblPr>
        <w:tblW w:type="pct" w:w="100%"/>
        <w:tblBorders>
          <w:top w:val="none"/>
          <w:left w:val="single" w:color="772281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772281"/>
                <w:sz w:val="20"/>
                <w:szCs w:val="20"/>
              </w:rPr>
              <w:t xml:space="preserve">📌 FICHE DE DOCUMENTATION TECHNIQUE BDL</w:t>
            </w:r>
          </w:p>
          <w:p>
            <w:r>
              <w:rPr>
                <w:rFonts w:ascii="Segoe UI" w:cs="Segoe UI" w:eastAsia="Segoe UI" w:hAnsi="Segoe UI"/>
                <w:color w:val="0F172A"/>
                <w:sz w:val="19"/>
                <w:szCs w:val="19"/>
              </w:rPr>
              <w:t xml:space="preserve">Organisme : Banque de Développement Local (BDL)
Direction : Direction des Systèmes d'Information &amp; Télécompensation
Version : 2.4.0 (Production Ready)
Date d'édition : Septembre 2026
Statut : Validé et Conforme aux exigences RTGS Banque d'Algérie &amp; SAB Core Banking</w:t>
            </w:r>
          </w:p>
        </w:tc>
      </w:tr>
    </w:tbl>
    <w:p>
      <w:pPr>
        <w:spacing w:after="200" w:before="200"/>
      </w:pPr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772281"/>
          <w:sz w:val="28"/>
          <w:szCs w:val="28"/>
        </w:rPr>
        <w:t xml:space="preserve">1. Présentation Générale &amp; Enjeux Métier</w:t>
      </w:r>
    </w:p>
    <w:p>
      <w:pPr>
        <w:spacing w:after="100" w:before="6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La solution BDL RTGS E-Banking est une plateforme bancaire hautement sécurisée et automatisée assurant l'intermédiation entre les canaux digitaux e-Banking et le système de règlement brut en temps réel (RTGS) de la Banque d'Algérie.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1.1 Objectifs Clés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• Zéro Saisie Manuelle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Automatisation complète du traitement des remises d'ordres de virements de masse.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• Sécurisation Comptable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Contrôle préalable en direct de la provision du compte donneur d'ordre sur Oracle 11g SAB avant tout engagement interbancaire.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• Conformité Réglementaire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Génération conforme aux standards internationaux SWIFT MT103 et normé BDL OD (98 positions).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• Alerting Métier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Routage ciblé des flux et fichiers générés vers les structures compétentes DCC, DTM et DMB.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1.2 Critères d'Éligibilité RTGS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1. Seuil Financier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Montant supérieur ou égal à 1 000 000,00 DZD (Paramètre système).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2. Type de Flux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Opération interbancaire (Code banque donneur 005 BDL ≠ Code banque bénéficiaire).</w:t>
      </w:r>
    </w:p>
    <w:p>
      <w:pPr>
        <w:spacing w:after="100" w:before="6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Les opérations intrabancaires (005 vers 005) ou inférieures à 1M DZD sont orientées vers le circuit classique avec le statut IGNORE_FILTRE.</w:t>
      </w:r>
    </w:p>
    <w:p>
      <w:pPr>
        <w:spacing w:after="150"/>
      </w:pP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772281"/>
          <w:sz w:val="28"/>
          <w:szCs w:val="28"/>
        </w:rPr>
        <w:t xml:space="preserve">2. Rôles et Affectations des Directions BDL</w:t>
      </w:r>
    </w:p>
    <w:tbl>
      <w:tblPr>
        <w:tblW w:type="pct" w:w="100%"/>
        <w:tblBorders>
          <w:top w:val="single" w:color="772281" w:sz="12"/>
          <w:left w:val="none"/>
          <w:bottom w:val="single" w:color="772281" w:sz="1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Direction BDL</w:t>
            </w:r>
          </w:p>
        </w:tc>
        <w:tc>
          <w:tcPr>
            <w:tcW w:type="pct" w:w="30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Rôle Métier</w:t>
            </w:r>
          </w:p>
        </w:tc>
        <w:tc>
          <w:tcPr>
            <w:tcW w:type="pct" w:w="30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Fichiers &amp; Flux Reçus</w:t>
            </w:r>
          </w:p>
        </w:tc>
        <w:tc>
          <w:tcPr>
            <w:tcW w:type="pct" w:w="20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Email Notifié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Structure DCC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Direction de la Comptabilité et du Contrôle de gestion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Fichier de lot d'Opérations Diverses (ZCPTODA9_*.dat) en pièce jointe + Récapitulatif débit</w:t>
            </w:r>
          </w:p>
        </w:tc>
        <w:tc>
          <w:tcPr>
            <w:tcW w:type="pct" w:w="2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dcc-comptabilite@bdl.dz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Structure DTM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Direction de la Trésorerie et des Marchés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Message SWIFT MT103 normé (MT103_*.txt) en pièce jointe + Fiche d'exécution télécompensation</w:t>
            </w:r>
          </w:p>
        </w:tc>
        <w:tc>
          <w:tcPr>
            <w:tcW w:type="pct" w:w="2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dtm-tresorerie@bdl.dz</w:t>
            </w:r>
          </w:p>
        </w:tc>
      </w:tr>
      <w:tr>
        <w:tc>
          <w:tcPr>
            <w:tcW w:type="pct" w:w="2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Structure DMB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Direction de la Monétique et de la Banque à distance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Fichiers SI Retour Rejet (SI_VIR_RJT_*.txt) ou Confirmation Comptable (SI_VIR_CPT_*.txt)</w:t>
            </w:r>
          </w:p>
        </w:tc>
        <w:tc>
          <w:tcPr>
            <w:tcW w:type="pct" w:w="2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dmb-monetique@bdl.dz</w:t>
            </w:r>
          </w:p>
        </w:tc>
      </w:tr>
    </w:tbl>
    <w:p>
      <w:pPr>
        <w:spacing w:after="200" w:before="200"/>
      </w:pPr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772281"/>
          <w:sz w:val="28"/>
          <w:szCs w:val="28"/>
        </w:rPr>
        <w:t xml:space="preserve">3. Architecture Technique &amp; Composants</w:t>
      </w:r>
    </w:p>
    <w:p>
      <w:pPr>
        <w:spacing w:after="100" w:before="6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L'architecture repose sur un découpage modulaire garantissant haute disponibilité, traçabilité et scalabilité 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• Backend Runtime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Node.js 18+ avec Express.js, orchestrateur de tâches asynchrones et pool de connexions.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• Persistance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Sequelize ORM avec support natif MySQL 8 (Production) et fallback SQLite.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• Core Banking SAB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Connecteur direct Oracle 11g Instant Client avec bascule transparente vers un simulateur intégré en mémoire.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• Multi-Protocoles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Surveillance Chokidar en temps réel et connecteurs distants FTP/SFTP (ssh2-sftp-client / basic-ftp).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• Moteur SMTP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Moteur Nodemailer avec protocole sécurisé STARTTLS sur le port 587 (serveur 10.121.2.50).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• Frontend Web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React 18 SPA avec Vite, Tailwind CSS, Lucide Icons et authentification JWT sécurisée.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3.1 Schéma d'Architecture C4 Container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                            POSTES CLIENTS / NAVIGATEURS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                [ Administrateurs RTGS ]          [ Agents Consultation ]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+---------------------------------------+---------------------------------------+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               | HTTPS / REST API (JWT)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                      API GATEWAY &amp; MIDDLEWARES (Express.js)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+---------------------------------------+---------------------------------------+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+-------------------------------+-------------------------------+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|                               |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v                               v   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+------------------+            +------------------+            +------------------+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FileWatcher /    |            | OdScheduler /    |            | Processing /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SFTP Poller      |            | Polling SAB      |            | Parser EDI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+--------+---------+            +--------+---------+            +--------+---------+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|                               |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|         +---------------------+---------------------+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|         |                                           |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v         v                                           v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+----------------------+     +----------------------+     +----------------------+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FolderStorageService |     |   OracleService SAB  |     |     EmailService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| (Local / FTP / SFTP) |     |  (Oracle Net8: 1521) |     |  (SMTP STARTTLS:587)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+----------+-----------+     +----------+-----------+     +----------+-----------+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|                            |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v                            v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[ directories/ FS ]           [ sabstd.zcptod0 ]           [ DCC / DTM / DMB ]</w:t>
            </w:r>
          </w:p>
        </w:tc>
      </w:tr>
    </w:tbl>
    <w:p>
      <w:pPr>
        <w:spacing w:after="200" w:before="200"/>
      </w:pPr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772281"/>
          <w:sz w:val="28"/>
          <w:szCs w:val="28"/>
        </w:rPr>
        <w:t xml:space="preserve">4. Cycle de Traitement &amp; Workflow Métier Détaillé</w:t>
      </w:r>
    </w:p>
    <w:p>
      <w:pPr>
        <w:spacing w:after="100" w:before="6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 cycle complet d'un virement suit 3 phases automatisées :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4.1 Phase 1 : Ingestion EDI, Filtrage &amp; Rétention Source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1. Surveillance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Dépôt du fichier de remise client dans le répertoire source.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2. Rétention Intégrale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Calcul d'empreinte (Hash MD5/SHA-256) pour éviter toute ré-ingestion accidentelle. Le fichier d'origine n'est JAMAIS supprimé du répertoire source.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3. Parsing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Extraction des lignes Entête (EE), Corps (EC) et Fin (EF). Détection des doublons.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4. Qualification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Les virements éligibles reçoivent l'état RECU. Les autres sont marqués IGNORE_FILTRE.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4.2 Phase 2 : Ordonnancement des Lots OD &amp; Contrôle Solde SAB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1. Déclenchement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Exécution automatique aux heures programmables (12:00, 15:00, 16:30) ou sur demande manuelle.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2. Vérification Provision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Interrogation synchrone du solde sur sabstd.zcompte0 et sabstd.zsolde0 pour chaque virement au statut RECU.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3. Cas Solde Insuffisant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Rejet automatique immédiat (statut REJETE), écriture de SI_VIR_RJT_*.txt dans si_retour/ et notification email à la structure DMB.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4. Cas Solde Suffisant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Statut OD_GEN, génération du fichier ZCPTODA9_YYYYMMDD_HHMMSS.dat dans generated_od/ et envoi d'email à la structure DCC avec pièce jointe.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4.3 Phase 3 : Polling SAB &amp; Télécompensation MT103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1. Surveillance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Polling toutes les 5 minutes de la table sabstd.zcptod0 avec la clé d'unicité CPTODLI2.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2. Code CPTODETA = '001' (INTEGRE)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Pris en charge par le SAB. Le polling se poursuit.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3. Code CPTODETA = '003' (COMPTABILISE)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Passage au statut ENVOYE, récupération du N° DCO, génération du SWIFT MT103 vers generated_mt103/ (notifié à la DTM) et génération de l'accusé SI_VIR_CPT vers si_retour/ (notifié à la DMB).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4. Code CPTODETA = '002' (REJETE SAB) 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Statut REJETE, génération de SI_VIR_RJT_*.txt et notification email à la DMB.</w:t>
      </w:r>
    </w:p>
    <w:p>
      <w:pPr>
        <w:spacing w:after="200" w:before="200"/>
      </w:pPr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772281"/>
          <w:sz w:val="28"/>
          <w:szCs w:val="28"/>
        </w:rPr>
        <w:t xml:space="preserve">5. Diagrammes de Flux &amp; Séquence</w:t>
      </w:r>
    </w:p>
    <w:p>
      <w:pPr>
        <w:spacing w:after="100" w:before="6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Les diagrammes textuels ci-dessous illustrent les interactions synchrones et asynchrones :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5.1 Diagramme de Séquence de la Phase de Lot OD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[Scheduler]              [MySQL]               [Oracle SAB 11g]          [DCC/DMB]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                      |                          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|-- 1. Heure Fixe ----&gt;|                          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|-- 2. Find RECU -----&gt;|                          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|&lt;- Liste virements ---|                          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                                                 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|-- 3. SELECT soldecen (compte 15 pos) ----------&gt;|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|&lt;- 4. Solde disponible (ex: 50 000 000 DZD) -----|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                                                 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|=== CAS A : Solde &lt; Montant (Insuffisant) =============================|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|-- 5a. Générer SI_VIR_RJT_*.txt --------------------------------------&gt;|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|-- 6a. UPDATE statut = 'REJETE' ----------------&gt;|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|-- 7a. Envoi Email Notification Rejet --------------------------------&gt;| Structure DMB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                                                 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|=== CAS B : Solde &gt;= Montant (Suffisant) ==============================|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|-- 5b. Générer ZCPTODA9_YYYYMMDD_HHMMSS.dat ----&gt;|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|-- 6b. UPDATE statut = 'OD_GEN' ----------------&gt;|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|-- 7b. Envoi Email Notification Lot OD + .dat ------------------------&gt;| Structure DCC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v                      v                          v                     v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5.2 Diagramme de Séquence de la Phase de Polling SAB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[Poller]                 [MySQL]               [Oracle zcptod0]          [DTM/DMB]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                      |                          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|-- 1. Check 5 min ---&gt;|                          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|-- 2. Find OD_GEN ---&gt;|                          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|&lt;- Liste virements ---|                          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                                                 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|-- 3. SELECT CPTODETA, CPTODDCO (CPTODLI2) -----&gt;|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|&lt;- 4. CPTODETA='003' &amp; CPTODDCO='987654321' -----|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                                                 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|-- 5. Générer SWIFT MT103 (MT103_*.txt) --------&gt;|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|-- 6. Générer Accusé Compta (SI_VIR_CPT_*.txt) -&gt;|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|-- 7. UPDATE statut = 'ENVOYE' -----------------&gt;|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|-- 8. Envoi Email SWIFT MT103 + .txt ---------------------------------&gt;| Structure DTM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|-- 9. Envoi Email Accusé Compta + .txt -------------------------------&gt;| Structure DMB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v                      v                          v                     v</w:t>
            </w:r>
          </w:p>
        </w:tc>
      </w:tr>
    </w:tbl>
    <w:p>
      <w:pPr>
        <w:spacing w:after="200" w:before="200"/>
      </w:pPr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772281"/>
          <w:sz w:val="28"/>
          <w:szCs w:val="28"/>
        </w:rPr>
        <w:t xml:space="preserve">6. Spécifications &amp; Formats des Fichiers</w:t>
      </w:r>
    </w:p>
    <w:p>
      <w:pPr>
        <w:spacing w:after="100" w:before="6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L'ensemble des fichiers générés respecte scrupuleusement les normes BDL et SWIFT :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6.1 Format EDI Entrant (Positions Fixes)</w:t>
      </w:r>
    </w:p>
    <w:tbl>
      <w:tblPr>
        <w:tblW w:type="pct" w:w="100%"/>
        <w:tblBorders>
          <w:top w:val="single" w:color="772281" w:sz="12"/>
          <w:left w:val="none"/>
          <w:bottom w:val="single" w:color="772281" w:sz="1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Enregistrement</w:t>
            </w:r>
          </w:p>
        </w:tc>
        <w:tc>
          <w:tcPr>
            <w:tcW w:type="pct" w:w="15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pct" w:w="12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Longueur</w:t>
            </w:r>
          </w:p>
        </w:tc>
        <w:tc>
          <w:tcPr>
            <w:tcW w:type="pct" w:w="28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Désignation</w:t>
            </w:r>
          </w:p>
        </w:tc>
        <w:tc>
          <w:tcPr>
            <w:tcW w:type="pct" w:w="30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Exemple / Format</w:t>
            </w:r>
          </w:p>
        </w:tc>
      </w:tr>
      <w:tr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Entête EE</w:t>
            </w:r>
          </w:p>
        </w:tc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001 - 004</w:t>
            </w:r>
          </w:p>
        </w:tc>
        <w:tc>
          <w:tcPr>
            <w:tcW w:type="pct" w:w="1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Identifiant fixe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VIRM</w:t>
            </w:r>
          </w:p>
        </w:tc>
      </w:tr>
      <w:tr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Entête EE</w:t>
            </w:r>
          </w:p>
        </w:tc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005 - 007</w:t>
            </w:r>
          </w:p>
        </w:tc>
        <w:tc>
          <w:tcPr>
            <w:tcW w:type="pct" w:w="1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pct" w:w="2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Code Banque Donneur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005 (BDL)</w:t>
            </w:r>
          </w:p>
        </w:tc>
      </w:tr>
      <w:tr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Entête EE</w:t>
            </w:r>
          </w:p>
        </w:tc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013 - 032</w:t>
            </w:r>
          </w:p>
        </w:tc>
        <w:tc>
          <w:tcPr>
            <w:tcW w:type="pct" w:w="1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20</w:t>
            </w:r>
          </w:p>
        </w:tc>
        <w:tc>
          <w:tcPr>
            <w:tcW w:type="pct" w:w="2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RIB Donneur d'Ordre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00500133400218153023</w:t>
            </w:r>
          </w:p>
        </w:tc>
      </w:tr>
      <w:tr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Entête EE</w:t>
            </w:r>
          </w:p>
        </w:tc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037 - 086</w:t>
            </w:r>
          </w:p>
        </w:tc>
        <w:tc>
          <w:tcPr>
            <w:tcW w:type="pct" w:w="1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50</w:t>
            </w:r>
          </w:p>
        </w:tc>
        <w:tc>
          <w:tcPr>
            <w:tcW w:type="pct" w:w="2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Nom Donneur d'Ordre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ENTREPRISE NATIONALE INDUSTRIELLE</w:t>
            </w:r>
          </w:p>
        </w:tc>
      </w:tr>
      <w:tr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Entête EE</w:t>
            </w:r>
          </w:p>
        </w:tc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157 - 164</w:t>
            </w:r>
          </w:p>
        </w:tc>
        <w:tc>
          <w:tcPr>
            <w:tcW w:type="pct" w:w="1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pct" w:w="2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Date Remise (AAAAMMJJ)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20260914</w:t>
            </w:r>
          </w:p>
        </w:tc>
      </w:tr>
      <w:tr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Entête EE</w:t>
            </w:r>
          </w:p>
        </w:tc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174 - 189</w:t>
            </w:r>
          </w:p>
        </w:tc>
        <w:tc>
          <w:tcPr>
            <w:tcW w:type="pct" w:w="1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16</w:t>
            </w:r>
          </w:p>
        </w:tc>
        <w:tc>
          <w:tcPr>
            <w:tcW w:type="pct" w:w="2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Montant total (Centimes)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0000000243735800</w:t>
            </w:r>
          </w:p>
        </w:tc>
      </w:tr>
      <w:tr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Corps EC</w:t>
            </w:r>
          </w:p>
        </w:tc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001 - 010</w:t>
            </w:r>
          </w:p>
        </w:tc>
        <w:tc>
          <w:tcPr>
            <w:tcW w:type="pct" w:w="1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pct" w:w="2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N° Ordre séquentiel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0000010207</w:t>
            </w:r>
          </w:p>
        </w:tc>
      </w:tr>
      <w:tr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Corps EC</w:t>
            </w:r>
          </w:p>
        </w:tc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012 - 031</w:t>
            </w:r>
          </w:p>
        </w:tc>
        <w:tc>
          <w:tcPr>
            <w:tcW w:type="pct" w:w="1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20</w:t>
            </w:r>
          </w:p>
        </w:tc>
        <w:tc>
          <w:tcPr>
            <w:tcW w:type="pct" w:w="2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RIB Bénéficiaire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00806001906006101410</w:t>
            </w:r>
          </w:p>
        </w:tc>
      </w:tr>
      <w:tr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Corps EC</w:t>
            </w:r>
          </w:p>
        </w:tc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036 - 085</w:t>
            </w:r>
          </w:p>
        </w:tc>
        <w:tc>
          <w:tcPr>
            <w:tcW w:type="pct" w:w="1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50</w:t>
            </w:r>
          </w:p>
        </w:tc>
        <w:tc>
          <w:tcPr>
            <w:tcW w:type="pct" w:w="2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Nom Bénéficiaire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SARL TECH LOGISTICS ALGERIE</w:t>
            </w:r>
          </w:p>
        </w:tc>
      </w:tr>
      <w:tr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Corps EC</w:t>
            </w:r>
          </w:p>
        </w:tc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156 - 170</w:t>
            </w:r>
          </w:p>
        </w:tc>
        <w:tc>
          <w:tcPr>
            <w:tcW w:type="pct" w:w="1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W w:type="pct" w:w="2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Montant virement (Centimes)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000000243735800</w:t>
            </w:r>
          </w:p>
        </w:tc>
      </w:tr>
      <w:tr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Corps EC</w:t>
            </w:r>
          </w:p>
        </w:tc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171 - 240</w:t>
            </w:r>
          </w:p>
        </w:tc>
        <w:tc>
          <w:tcPr>
            <w:tcW w:type="pct" w:w="1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70</w:t>
            </w:r>
          </w:p>
        </w:tc>
        <w:tc>
          <w:tcPr>
            <w:tcW w:type="pct" w:w="2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Libellé de l'opération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VIR FACTURE RTGS MATERIEL INFO</w:t>
            </w:r>
          </w:p>
        </w:tc>
      </w:tr>
      <w:tr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Fin EF</w:t>
            </w:r>
          </w:p>
        </w:tc>
        <w:tc>
          <w:tcPr>
            <w:tcW w:type="pct" w:w="1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001 - 004</w:t>
            </w:r>
          </w:p>
        </w:tc>
        <w:tc>
          <w:tcPr>
            <w:tcW w:type="pct" w:w="1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Identifiant fin</w:t>
            </w:r>
          </w:p>
        </w:tc>
        <w:tc>
          <w:tcPr>
            <w:tcW w:type="pct" w:w="3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FVIR</w:t>
            </w:r>
          </w:p>
        </w:tc>
      </w:tr>
    </w:tbl>
    <w:p>
      <w:pPr>
        <w:spacing w:after="15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6.2 Format Message SWIFT MT103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{1:F01BDLODZALXXX0000000000}{2:I103BALGDZALXXXXN}{3:{103:DLP}}{4: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:20:0000010207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:23B:CRED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:23E:SDVA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:32A:260914DZD2437358,00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:50K:/00500133400218153023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ENTREPRISE NATIONALE INDUSTRIELLE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12 BOULEVARD DES MARTYRS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ALGER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:53A:/9711000005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BDLODZALXXX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:57A:/9711000008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SGENALAGXXX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:59:/00806001906006101410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SARL TECH LOGISTICS ALGERIE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ZONE INDUSTRIELLE OUED SMAR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ALGER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:70:VIR FACTURE RTGS MATERIEL INFO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:71A:SHA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:72:/CODTYPTR/001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-}</w:t>
            </w:r>
          </w:p>
        </w:tc>
      </w:tr>
    </w:tbl>
    <w:p>
      <w:pPr>
        <w:spacing w:after="200" w:before="200"/>
      </w:pPr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772281"/>
          <w:sz w:val="28"/>
          <w:szCs w:val="28"/>
        </w:rPr>
        <w:t xml:space="preserve">7. Schéma de Base de Données &amp; États</w:t>
      </w:r>
    </w:p>
    <w:p>
      <w:pPr>
        <w:spacing w:after="100" w:before="6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 système s'articule autour des tables relationnelles suivantes :</w:t>
      </w:r>
    </w:p>
    <w:tbl>
      <w:tblPr>
        <w:tblW w:type="pct" w:w="100%"/>
        <w:tblBorders>
          <w:top w:val="single" w:color="772281" w:sz="12"/>
          <w:left w:val="none"/>
          <w:bottom w:val="single" w:color="772281" w:sz="1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pct" w:w="42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40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Champs Clés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remises</w:t>
            </w:r>
          </w:p>
        </w:tc>
        <w:tc>
          <w:tcPr>
            <w:tcW w:type="pct" w:w="4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Historique et métadonnées des fichiers EDI reçus</w:t>
            </w:r>
          </w:p>
        </w:tc>
        <w:tc>
          <w:tcPr>
            <w:tcW w:type="pct" w:w="4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id, nomFichier, fileHash, montantTotal, nombreOperations, statutGlobal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virements</w:t>
            </w:r>
          </w:p>
        </w:tc>
        <w:tc>
          <w:tcPr>
            <w:tcW w:type="pct" w:w="4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Enregistrements individuels de chaque ordre de virement</w:t>
            </w:r>
          </w:p>
        </w:tc>
        <w:tc>
          <w:tcPr>
            <w:tcW w:type="pct" w:w="4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id, remiseId, numeroOrdre, montant, ribDonneur, ribBeneficiaire, statut, cleUniciteSab, cptoddco, fichierOdBatch, fichierMt103Genere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banque_refs</w:t>
            </w:r>
          </w:p>
        </w:tc>
        <w:tc>
          <w:tcPr>
            <w:tcW w:type="pct" w:w="4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Référentiel des 17 banques algériennes agréées</w:t>
            </w:r>
          </w:p>
        </w:tc>
        <w:tc>
          <w:tcPr>
            <w:tcW w:type="pct" w:w="4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codeBanque, nomBanque, bicSwift, compteReglement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folder_configs</w:t>
            </w:r>
          </w:p>
        </w:tc>
        <w:tc>
          <w:tcPr>
            <w:tcW w:type="pct" w:w="4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Configurations dynamiques des répertoires Local/FTP/SFTP</w:t>
            </w:r>
          </w:p>
        </w:tc>
        <w:tc>
          <w:tcPr>
            <w:tcW w:type="pct" w:w="4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folderKey, type, localPath, host, port, username, password, remotePath, isActive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system_settings</w:t>
            </w:r>
          </w:p>
        </w:tc>
        <w:tc>
          <w:tcPr>
            <w:tcW w:type="pct" w:w="4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Paramètres globaux du planificateur et emails</w:t>
            </w:r>
          </w:p>
        </w:tc>
        <w:tc>
          <w:tcPr>
            <w:tcW w:type="pct" w:w="4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key, value, description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traitement_logs</w:t>
            </w:r>
          </w:p>
        </w:tc>
        <w:tc>
          <w:tcPr>
            <w:tcW w:type="pct" w:w="4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Journal d'audit horodaté et traçabilité complète</w:t>
            </w:r>
          </w:p>
        </w:tc>
        <w:tc>
          <w:tcPr>
            <w:tcW w:type="pct" w:w="4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id, type, niveau, message, nomFichier, virementId, details, createdAt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users</w:t>
            </w:r>
          </w:p>
        </w:tc>
        <w:tc>
          <w:tcPr>
            <w:tcW w:type="pct" w:w="42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Comptes d'accès avec gestion des privilèges</w:t>
            </w:r>
          </w:p>
        </w:tc>
        <w:tc>
          <w:tcPr>
            <w:tcW w:type="pct" w:w="40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id, username, email, password, fullName, role, isActive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7.1 Cycle de Vie des Statuts d'un Virement</w:t>
      </w:r>
    </w:p>
    <w:tbl>
      <w:tblPr>
        <w:tblW w:type="pct" w:w="100%"/>
        <w:tblBorders>
          <w:top w:val="single" w:color="772281" w:sz="12"/>
          <w:left w:val="none"/>
          <w:bottom w:val="single" w:color="772281" w:sz="1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Code Statut</w:t>
            </w:r>
          </w:p>
        </w:tc>
        <w:tc>
          <w:tcPr>
            <w:tcW w:type="pct" w:w="25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Libellé Affiché</w:t>
            </w:r>
          </w:p>
        </w:tc>
        <w:tc>
          <w:tcPr>
            <w:tcW w:type="pct" w:w="57%"/>
            <w:shd w:fill="77228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Signification Métier &amp; Déclencheur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RECU</w:t>
            </w:r>
          </w:p>
        </w:tc>
        <w:tc>
          <w:tcPr>
            <w:tcW w:type="pct" w:w="2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En attente Lot OD</w:t>
            </w:r>
          </w:p>
        </w:tc>
        <w:tc>
          <w:tcPr>
            <w:tcW w:type="pct" w:w="57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Virement éligible extrait de la remise EDI. En attente de l'heure de lot.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OD_GEN</w:t>
            </w:r>
          </w:p>
        </w:tc>
        <w:tc>
          <w:tcPr>
            <w:tcW w:type="pct" w:w="2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Lot OD Généré</w:t>
            </w:r>
          </w:p>
        </w:tc>
        <w:tc>
          <w:tcPr>
            <w:tcW w:type="pct" w:w="57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Solde suffisant vérifié sur SAB. Inclus dans ZCPTODA9_*.dat. Transmis à la DCC.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INTEGRE</w:t>
            </w:r>
          </w:p>
        </w:tc>
        <w:tc>
          <w:tcPr>
            <w:tcW w:type="pct" w:w="2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Intégré SAB (001)</w:t>
            </w:r>
          </w:p>
        </w:tc>
        <w:tc>
          <w:tcPr>
            <w:tcW w:type="pct" w:w="57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Pris en compte par le SAB (CPTODETA=001, DCO=0). En attente de comptabilisation.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ENVOYE</w:t>
            </w:r>
          </w:p>
        </w:tc>
        <w:tc>
          <w:tcPr>
            <w:tcW w:type="pct" w:w="2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Comptabilisé &amp; Envoyé</w:t>
            </w:r>
          </w:p>
        </w:tc>
        <w:tc>
          <w:tcPr>
            <w:tcW w:type="pct" w:w="57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Comptabilisé (CPTODETA=003, DCO!=0). Message MT103 émis à la DTM et SI_VIR_CPT émis à la DMB.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REJETE</w:t>
            </w:r>
          </w:p>
        </w:tc>
        <w:tc>
          <w:tcPr>
            <w:tcW w:type="pct" w:w="2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Rejeté</w:t>
            </w:r>
          </w:p>
        </w:tc>
        <w:tc>
          <w:tcPr>
            <w:tcW w:type="pct" w:w="57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Rejet automatique pour solde insuffisant lors du lot ou rejet comptable SAB (002). Notifié à la DMB.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IGNORE_FILTRE</w:t>
            </w:r>
          </w:p>
        </w:tc>
        <w:tc>
          <w:tcPr>
            <w:tcW w:type="pct" w:w="2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Filtré / Non RTGS</w:t>
            </w:r>
          </w:p>
        </w:tc>
        <w:tc>
          <w:tcPr>
            <w:tcW w:type="pct" w:w="57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Montant inférieur à 1 000 000 DZD ou virement interne BDL vers BDL.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REJETE_DOUBLON</w:t>
            </w:r>
          </w:p>
        </w:tc>
        <w:tc>
          <w:tcPr>
            <w:tcW w:type="pct" w:w="25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Rejeté (Doublon)</w:t>
            </w:r>
          </w:p>
        </w:tc>
        <w:tc>
          <w:tcPr>
            <w:tcW w:type="pct" w:w="57%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0F172A"/>
                <w:sz w:val="18"/>
                <w:szCs w:val="18"/>
              </w:rPr>
              <w:t xml:space="preserve">Rejet pour détection de doublon (même libellé / tiers dans la remise ou en base).</w:t>
            </w:r>
          </w:p>
        </w:tc>
      </w:tr>
    </w:tbl>
    <w:p>
      <w:pPr>
        <w:spacing w:after="200" w:before="200"/>
      </w:pPr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772281"/>
          <w:sz w:val="28"/>
          <w:szCs w:val="28"/>
        </w:rPr>
        <w:t xml:space="preserve">8. Déploiement &amp; Manuel d'Exploitation</w:t>
      </w:r>
    </w:p>
    <w:p>
      <w:pPr>
        <w:spacing w:after="100" w:before="6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Instructions d'installation et de mise en production :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8.1 Configuration de l'Environnement (.env)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PORT=5000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NODE_ENV=production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JWT_SECRET=bdl_rtgs_secret_jwt_key_2026_super_secure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Base de données MySQL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DB_DIALECT=mysql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DB_HOST=127.0.0.1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DB_PORT=3306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DB_NAME=rtgs_ebanking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DB_USER=root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DB_PASSWORD=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Core Banking Oracle 11g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SOLDE_VERIFICATION_MODE=ORACLE_PROD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ORACLE_USER=sabstd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ORACLE_PASSWORD=sabpass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ORACLE_CONNECT_STRING=10.121.2.65:1521/SABPROD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Serveur SMTP BDL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SMTP_HOST=10.121.2.50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SMTP_PORT=587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SMTP_USER=BDL\rtgsebank-bdl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SMTP_PASS=windows-2026+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SMTP_FROM=rtgsebank-bdl@bdl.dz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Emails des Structures BDL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EMAIL_STRUCTURE_DCC=dcc-comptabilite@bdl.dz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EMAIL_STRUCTURE_DTM=dtm-tresorerie@bdl.dz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EMAIL_STRUCTURE_DMB=dmb-monetique@bdl.dz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8.2 Lancement des Services</w:t>
      </w:r>
    </w:p>
    <w:tbl>
      <w:tblPr>
        <w:tblW w:type="pct" w:w="100%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1. Lancement du Serveur Backend API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cd backend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npm start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2. Lancement du Frontend Web React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cd frontend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npm run build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npm run preview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none"/>
          <w:left w:val="single" w:color="059669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059669"/>
                <w:sz w:val="20"/>
                <w:szCs w:val="20"/>
              </w:rPr>
              <w:t xml:space="preserve">📌 VALIDATION &amp; HOMOLOGATION BDL</w:t>
            </w:r>
          </w:p>
          <w:p>
            <w:r>
              <w:rPr>
                <w:rFonts w:ascii="Segoe UI" w:cs="Segoe UI" w:eastAsia="Segoe UI" w:hAnsi="Segoe UI"/>
                <w:color w:val="0F172A"/>
                <w:sz w:val="19"/>
                <w:szCs w:val="19"/>
              </w:rPr>
              <w:t xml:space="preserve">Ce document a été généré pour servir de référentiel technique et d'exploitation officiel lors des audits et du déploiement en environnement de production BDL.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both"/>
    </w:pPr>
    <w:r>
      <w:rPr>
        <w:rFonts w:ascii="Segoe UI" w:cs="Segoe UI" w:eastAsia="Segoe UI" w:hAnsi="Segoe UI"/>
        <w:color w:val="64748B"/>
        <w:sz w:val="18"/>
        <w:szCs w:val="18"/>
      </w:rPr>
      <w:t xml:space="preserve">BDL RTGS E-Banking — Document Confidentiel Interne BDL          Page </w:t>
    </w:r>
    <w:r>
      <w:rPr>
        <w:rFonts w:ascii="Segoe UI" w:cs="Segoe UI" w:eastAsia="Segoe UI" w:hAnsi="Segoe UI"/>
        <w:b/>
        <w:bCs/>
        <w:color w:val="77228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8"/>
        <w:szCs w:val="18"/>
      </w:rPr>
      <w:t xml:space="preserve"> sur </w:t>
    </w:r>
    <w:r>
      <w:rPr>
        <w:rFonts w:ascii="Segoe UI" w:cs="Segoe UI" w:eastAsia="Segoe UI" w:hAnsi="Segoe U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b/>
        <w:bCs/>
        <w:color w:val="64748B"/>
        <w:sz w:val="16"/>
        <w:szCs w:val="16"/>
      </w:rPr>
      <w:t xml:space="preserve">BANQUE DE DEVELOPPEMENT LOCAL • DIRECTION DE L'INFORMATIQUE &amp; RTGS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2026-09-14T08:38:43.195Z</dcterms:created>
  <dcterms:modified xsi:type="dcterms:W3CDTF">2026-09-14T08:38:43.198Z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