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360"/>
        <w:jc w:val="center"/>
        <w:rPr>
          <w:rFonts w:ascii="Times New Roman" w:hAnsi="Times New Roman"/>
          <w:b/>
          <w:bCs/>
          <w:sz w:val="22"/>
          <w:szCs w:val="22"/>
        </w:rPr>
      </w:pPr>
      <w:r>
        <w:rPr>
          <w:rFonts w:ascii="Times New Roman" w:hAnsi="Times New Roman"/>
          <w:b/>
          <w:bCs/>
          <w:sz w:val="22"/>
          <w:szCs w:val="22"/>
        </w:rPr>
        <w:t>Etika Islam dalam Ruang Digital berdasarkan Literatur Digital</w:t>
      </w:r>
    </w:p>
    <w:p>
      <w:pPr>
        <w:pStyle w:val="BodyText"/>
        <w:bidi w:val="0"/>
        <w:spacing w:lineRule="auto" w:line="360"/>
        <w:jc w:val="both"/>
        <w:rPr>
          <w:rFonts w:ascii="Times New Roman" w:hAnsi="Times New Roman"/>
          <w:sz w:val="22"/>
          <w:szCs w:val="22"/>
        </w:rPr>
      </w:pPr>
      <w:r>
        <w:rPr>
          <w:rFonts w:ascii="Times New Roman" w:hAnsi="Times New Roman"/>
          <w:sz w:val="22"/>
          <w:szCs w:val="22"/>
        </w:rPr>
      </w:r>
    </w:p>
    <w:p>
      <w:pPr>
        <w:pStyle w:val="BodyText"/>
        <w:bidi w:val="0"/>
        <w:spacing w:lineRule="auto" w:line="360"/>
        <w:jc w:val="both"/>
        <w:rPr>
          <w:rFonts w:ascii="Times New Roman" w:hAnsi="Times New Roman"/>
          <w:sz w:val="22"/>
          <w:szCs w:val="22"/>
        </w:rPr>
      </w:pPr>
      <w:r>
        <w:rPr>
          <w:rFonts w:ascii="Times New Roman" w:hAnsi="Times New Roman"/>
          <w:sz w:val="22"/>
          <w:szCs w:val="22"/>
        </w:rPr>
        <w:t xml:space="preserve">Dalam melakukan eksplorasi ruang digital sering menemukan orang-orang yang krisis etika, dan moralitas. Ada beberapa tantangan yang </w:t>
      </w:r>
      <w:r>
        <w:rPr>
          <w:rFonts w:ascii="Times New Roman" w:hAnsi="Times New Roman"/>
          <w:sz w:val="22"/>
          <w:szCs w:val="22"/>
        </w:rPr>
        <w:t>saya</w:t>
      </w:r>
      <w:r>
        <w:rPr>
          <w:rFonts w:ascii="Times New Roman" w:hAnsi="Times New Roman"/>
          <w:sz w:val="22"/>
          <w:szCs w:val="22"/>
        </w:rPr>
        <w:t xml:space="preserve"> hadapi dalam melakukan eksplorasi ruang digital.</w:t>
      </w:r>
    </w:p>
    <w:p>
      <w:pPr>
        <w:pStyle w:val="BodyText"/>
        <w:bidi w:val="0"/>
        <w:spacing w:lineRule="auto" w:line="360"/>
        <w:jc w:val="both"/>
        <w:rPr>
          <w:rFonts w:ascii="Times New Roman" w:hAnsi="Times New Roman"/>
          <w:sz w:val="22"/>
          <w:szCs w:val="22"/>
        </w:rPr>
      </w:pPr>
      <w:r>
        <w:rPr>
          <w:rFonts w:ascii="Times New Roman" w:hAnsi="Times New Roman"/>
          <w:sz w:val="22"/>
          <w:szCs w:val="22"/>
        </w:rPr>
      </w:r>
    </w:p>
    <w:p>
      <w:pPr>
        <w:pStyle w:val="BodyText"/>
        <w:bidi w:val="0"/>
        <w:spacing w:lineRule="auto" w:line="360"/>
        <w:jc w:val="both"/>
        <w:rPr>
          <w:rFonts w:ascii="Times New Roman" w:hAnsi="Times New Roman"/>
          <w:sz w:val="22"/>
          <w:szCs w:val="22"/>
        </w:rPr>
      </w:pPr>
      <w:r>
        <w:rPr>
          <w:rFonts w:ascii="Times New Roman" w:hAnsi="Times New Roman"/>
          <w:sz w:val="22"/>
          <w:szCs w:val="22"/>
        </w:rPr>
        <w:t>1. Ekosistem Gangguan Informasi</w:t>
      </w:r>
    </w:p>
    <w:p>
      <w:pPr>
        <w:pStyle w:val="BodyText"/>
        <w:bidi w:val="0"/>
        <w:spacing w:lineRule="auto" w:line="360"/>
        <w:jc w:val="both"/>
        <w:rPr>
          <w:rFonts w:ascii="Times New Roman" w:hAnsi="Times New Roman"/>
          <w:sz w:val="22"/>
          <w:szCs w:val="22"/>
        </w:rPr>
      </w:pPr>
      <w:r>
        <w:rPr>
          <w:rFonts w:ascii="Times New Roman" w:hAnsi="Times New Roman"/>
          <w:sz w:val="22"/>
          <w:szCs w:val="22"/>
        </w:rPr>
        <w:t>Ekosistem yang penuh dengan penyelewengan faktual seperti hoaks, misinformasi, disinformasi, dan malinformasi demi keuntungan politik, ekonomi, atau kelompok tertentu. Fenomena ini bisa diperparah oleh kelompok tertentu untuk mempengaruhi opini publik dibandingkan dengan fakta objektif.</w:t>
      </w:r>
    </w:p>
    <w:p>
      <w:pPr>
        <w:pStyle w:val="BodyText"/>
        <w:bidi w:val="0"/>
        <w:spacing w:lineRule="auto" w:line="360"/>
        <w:jc w:val="both"/>
        <w:rPr>
          <w:rFonts w:ascii="Times New Roman" w:hAnsi="Times New Roman"/>
          <w:sz w:val="22"/>
          <w:szCs w:val="22"/>
        </w:rPr>
      </w:pPr>
      <w:r>
        <w:rPr>
          <w:rFonts w:ascii="Times New Roman" w:hAnsi="Times New Roman"/>
          <w:sz w:val="22"/>
          <w:szCs w:val="22"/>
        </w:rPr>
        <w:t>2. Krisis Kejahatan Komunikasi Digital</w:t>
      </w:r>
    </w:p>
    <w:p>
      <w:pPr>
        <w:pStyle w:val="BodyText"/>
        <w:bidi w:val="0"/>
        <w:spacing w:lineRule="auto" w:line="360"/>
        <w:jc w:val="both"/>
        <w:rPr>
          <w:rFonts w:ascii="Times New Roman" w:hAnsi="Times New Roman"/>
          <w:sz w:val="22"/>
          <w:szCs w:val="22"/>
        </w:rPr>
      </w:pPr>
      <w:r>
        <w:rPr>
          <w:rFonts w:ascii="Times New Roman" w:hAnsi="Times New Roman"/>
          <w:sz w:val="22"/>
          <w:szCs w:val="22"/>
        </w:rPr>
        <w:t>Pada ruang digital seperti sosial media Facebook, Tiktok, Instagram, dan lainnya itu penuh dengan pelanggaran akhlak dan pelanggaran etika seperti ujaran kebencian, fitnah, ghibah, adu domba, dan lainnya.</w:t>
      </w:r>
    </w:p>
    <w:p>
      <w:pPr>
        <w:pStyle w:val="BodyText"/>
        <w:bidi w:val="0"/>
        <w:spacing w:lineRule="auto" w:line="360"/>
        <w:jc w:val="both"/>
        <w:rPr>
          <w:rFonts w:ascii="Times New Roman" w:hAnsi="Times New Roman"/>
          <w:sz w:val="22"/>
          <w:szCs w:val="22"/>
        </w:rPr>
      </w:pPr>
      <w:r>
        <w:rPr>
          <w:rFonts w:ascii="Times New Roman" w:hAnsi="Times New Roman"/>
          <w:sz w:val="22"/>
          <w:szCs w:val="22"/>
        </w:rPr>
        <w:t>3. Hegemoni Algoritma dan Budaya Share before Verify</w:t>
      </w:r>
    </w:p>
    <w:p>
      <w:pPr>
        <w:pStyle w:val="BodyText"/>
        <w:bidi w:val="0"/>
        <w:spacing w:lineRule="auto" w:line="360"/>
        <w:jc w:val="both"/>
        <w:rPr>
          <w:rFonts w:ascii="Times New Roman" w:hAnsi="Times New Roman"/>
          <w:sz w:val="22"/>
          <w:szCs w:val="22"/>
        </w:rPr>
      </w:pPr>
      <w:r>
        <w:rPr>
          <w:rFonts w:ascii="Times New Roman" w:hAnsi="Times New Roman"/>
          <w:i w:val="false"/>
          <w:iCs w:val="false"/>
          <w:sz w:val="22"/>
          <w:szCs w:val="22"/>
        </w:rPr>
        <w:t xml:space="preserve">Hegemoni Algoritma adalah salah satu algoritma yang dapat mengatur, mengarahkan, dan membentuk pola pikir, perilaku, dan opini publik manusia di ruang digital. Dalam sistem media sosial, terkadang memprioritaskan </w:t>
      </w:r>
      <w:r>
        <w:rPr>
          <w:rFonts w:ascii="Times New Roman" w:hAnsi="Times New Roman"/>
          <w:i/>
          <w:iCs/>
          <w:sz w:val="22"/>
          <w:szCs w:val="22"/>
        </w:rPr>
        <w:t xml:space="preserve">engagement </w:t>
      </w:r>
      <w:r>
        <w:rPr>
          <w:rFonts w:ascii="Times New Roman" w:hAnsi="Times New Roman"/>
          <w:i w:val="false"/>
          <w:iCs w:val="false"/>
          <w:sz w:val="22"/>
          <w:szCs w:val="22"/>
        </w:rPr>
        <w:t xml:space="preserve">dan viralitas emosional untuk menciptakan </w:t>
      </w:r>
      <w:r>
        <w:rPr>
          <w:rFonts w:ascii="Times New Roman" w:hAnsi="Times New Roman"/>
          <w:i/>
          <w:iCs/>
          <w:sz w:val="22"/>
          <w:szCs w:val="22"/>
        </w:rPr>
        <w:t>echo chambers</w:t>
      </w:r>
      <w:r>
        <w:rPr>
          <w:rFonts w:ascii="Times New Roman" w:hAnsi="Times New Roman"/>
          <w:i w:val="false"/>
          <w:iCs w:val="false"/>
          <w:sz w:val="22"/>
          <w:szCs w:val="22"/>
        </w:rPr>
        <w:t xml:space="preserve"> dan </w:t>
      </w:r>
      <w:r>
        <w:rPr>
          <w:rFonts w:ascii="Times New Roman" w:hAnsi="Times New Roman"/>
          <w:i/>
          <w:iCs/>
          <w:sz w:val="22"/>
          <w:szCs w:val="22"/>
        </w:rPr>
        <w:t>filters bubble</w:t>
      </w:r>
      <w:r>
        <w:rPr>
          <w:rFonts w:ascii="Times New Roman" w:hAnsi="Times New Roman"/>
          <w:i w:val="false"/>
          <w:iCs w:val="false"/>
          <w:sz w:val="22"/>
          <w:szCs w:val="22"/>
        </w:rPr>
        <w:t>. Hal ini dapat memicu confirmation bias, dimana pengguna cenderung mengkonsumsi dan membagikan informasi yang hanya mendukung pandangan atau afiliasi kelompoknya sendiri.</w:t>
      </w:r>
    </w:p>
    <w:p>
      <w:pPr>
        <w:pStyle w:val="BodyText"/>
        <w:bidi w:val="0"/>
        <w:spacing w:lineRule="auto" w:line="360"/>
        <w:jc w:val="both"/>
        <w:rPr>
          <w:rFonts w:ascii="Times New Roman" w:hAnsi="Times New Roman"/>
          <w:i w:val="false"/>
          <w:iCs w:val="false"/>
          <w:sz w:val="22"/>
          <w:szCs w:val="22"/>
        </w:rPr>
      </w:pPr>
      <w:r>
        <w:rPr>
          <w:rFonts w:ascii="Times New Roman" w:hAnsi="Times New Roman"/>
          <w:i w:val="false"/>
          <w:iCs w:val="false"/>
          <w:sz w:val="22"/>
          <w:szCs w:val="22"/>
        </w:rPr>
      </w:r>
    </w:p>
    <w:p>
      <w:pPr>
        <w:pStyle w:val="BodyText"/>
        <w:bidi w:val="0"/>
        <w:spacing w:lineRule="auto" w:line="360"/>
        <w:jc w:val="both"/>
        <w:rPr>
          <w:rFonts w:ascii="Times New Roman" w:hAnsi="Times New Roman"/>
          <w:sz w:val="22"/>
          <w:szCs w:val="22"/>
        </w:rPr>
      </w:pPr>
      <w:r>
        <w:rPr>
          <w:rFonts w:ascii="Times New Roman" w:hAnsi="Times New Roman"/>
          <w:sz w:val="22"/>
          <w:szCs w:val="22"/>
        </w:rPr>
        <w:t>Berdasarkan sumber-sumber ilmiah, beberapa menyebutkan bahwa pendekatan teknis semata tidaklah cukup, diperlukan pembenahan etis spiritual berbasis ajaran islam.</w:t>
      </w:r>
    </w:p>
    <w:p>
      <w:pPr>
        <w:pStyle w:val="BodyText"/>
        <w:bidi w:val="0"/>
        <w:spacing w:lineRule="auto" w:line="360"/>
        <w:jc w:val="both"/>
        <w:rPr>
          <w:rFonts w:ascii="Times New Roman" w:hAnsi="Times New Roman"/>
          <w:sz w:val="22"/>
          <w:szCs w:val="22"/>
        </w:rPr>
      </w:pPr>
      <w:r>
        <w:rPr>
          <w:rFonts w:ascii="Times New Roman" w:hAnsi="Times New Roman"/>
          <w:sz w:val="22"/>
          <w:szCs w:val="22"/>
        </w:rPr>
        <w:t>1. Aktualisasi Konsep Tabayyun</w:t>
      </w:r>
    </w:p>
    <w:p>
      <w:pPr>
        <w:pStyle w:val="BodyText"/>
        <w:bidi w:val="0"/>
        <w:spacing w:lineRule="auto" w:line="360"/>
        <w:jc w:val="both"/>
        <w:rPr>
          <w:rFonts w:ascii="Times New Roman" w:hAnsi="Times New Roman"/>
          <w:sz w:val="22"/>
          <w:szCs w:val="22"/>
        </w:rPr>
      </w:pPr>
      <w:r>
        <w:rPr>
          <w:rFonts w:ascii="Times New Roman" w:hAnsi="Times New Roman"/>
          <w:sz w:val="22"/>
          <w:szCs w:val="22"/>
        </w:rPr>
        <w:t>Al-Qur’an melalui QS. Al-Hujarat ayat 6, “Wahai orang-orang yang beriman, jika seorang fasik datang kepadamu membawa berita penting, maka telitilah kebenarannya agar kamu tidak mencelakakan suatu kaum karena ketidaktahuan(-mu) yang berakibat kamu menyesali perbuatanmu itu.”.</w:t>
      </w:r>
    </w:p>
    <w:p>
      <w:pPr>
        <w:pStyle w:val="BodyText"/>
        <w:bidi w:val="0"/>
        <w:spacing w:lineRule="auto" w:line="360"/>
        <w:jc w:val="both"/>
        <w:rPr>
          <w:rFonts w:ascii="Times New Roman" w:hAnsi="Times New Roman"/>
          <w:sz w:val="22"/>
          <w:szCs w:val="22"/>
        </w:rPr>
      </w:pPr>
      <w:r>
        <w:rPr>
          <w:rFonts w:ascii="Times New Roman" w:hAnsi="Times New Roman"/>
          <w:sz w:val="22"/>
          <w:szCs w:val="22"/>
        </w:rPr>
        <w:t>Al-Qur’an memerintahkan kita untuk melakukan verifikasi dan kehati-hatian dalam menerima berita agar tidak menimbulkan kerugian sosial. Bahkan ada artikel ilmiah yang mengembangkan konsep Tabayyun ini, judul artikel nya yaitu “Digital Tabayyun Ethics 2.0” yang bertumpu pada empat prinsip, verifikasi sebelum viral, validasi informasi, tanggung jawab terhadap informasi, dan empati dalam berkomunikasi.</w:t>
      </w:r>
    </w:p>
    <w:p>
      <w:pPr>
        <w:pStyle w:val="BodyText"/>
        <w:bidi w:val="0"/>
        <w:spacing w:lineRule="auto" w:line="360"/>
        <w:jc w:val="both"/>
        <w:rPr>
          <w:rFonts w:ascii="Times New Roman" w:hAnsi="Times New Roman"/>
          <w:sz w:val="22"/>
          <w:szCs w:val="22"/>
        </w:rPr>
      </w:pPr>
      <w:r>
        <w:rPr>
          <w:rFonts w:ascii="Times New Roman" w:hAnsi="Times New Roman"/>
          <w:sz w:val="22"/>
          <w:szCs w:val="22"/>
        </w:rPr>
        <w:t>2. Prinsip Akhlakul Karimah dalam Komunikasi</w:t>
      </w:r>
    </w:p>
    <w:p>
      <w:pPr>
        <w:pStyle w:val="BodyText"/>
        <w:bidi w:val="0"/>
        <w:spacing w:lineRule="auto" w:line="360"/>
        <w:jc w:val="both"/>
        <w:rPr>
          <w:rFonts w:ascii="Times New Roman" w:hAnsi="Times New Roman"/>
          <w:sz w:val="22"/>
          <w:szCs w:val="22"/>
        </w:rPr>
      </w:pPr>
      <w:r>
        <w:rPr>
          <w:rFonts w:ascii="Times New Roman" w:hAnsi="Times New Roman"/>
          <w:sz w:val="22"/>
          <w:szCs w:val="22"/>
        </w:rPr>
        <w:t>Etika komunikasi Islam menegaskan larangan ghibah, fitnah, dan namimah serta mewajibkan penggunaan tutur kata yang santun dan jujur.</w:t>
      </w:r>
    </w:p>
    <w:p>
      <w:pPr>
        <w:pStyle w:val="BodyText"/>
        <w:bidi w:val="0"/>
        <w:spacing w:lineRule="auto" w:line="360"/>
        <w:jc w:val="both"/>
        <w:rPr>
          <w:rFonts w:ascii="Times New Roman" w:hAnsi="Times New Roman"/>
          <w:sz w:val="22"/>
          <w:szCs w:val="22"/>
        </w:rPr>
      </w:pPr>
      <w:r>
        <w:rPr>
          <w:rFonts w:ascii="Times New Roman" w:hAnsi="Times New Roman"/>
          <w:sz w:val="22"/>
          <w:szCs w:val="22"/>
        </w:rPr>
        <w:t>3. Pedoman Institusional dan Regulasi</w:t>
      </w:r>
    </w:p>
    <w:p>
      <w:pPr>
        <w:pStyle w:val="BodyText"/>
        <w:bidi w:val="0"/>
        <w:spacing w:lineRule="auto" w:line="360"/>
        <w:jc w:val="both"/>
        <w:rPr>
          <w:rFonts w:ascii="Times New Roman" w:hAnsi="Times New Roman"/>
          <w:sz w:val="22"/>
          <w:szCs w:val="22"/>
        </w:rPr>
      </w:pPr>
      <w:r>
        <w:rPr>
          <w:rFonts w:ascii="Times New Roman" w:hAnsi="Times New Roman"/>
          <w:sz w:val="22"/>
          <w:szCs w:val="22"/>
        </w:rPr>
        <w:t>Ada sumber pedoman institusional dan regulasi di Indonesia, seperti Fatwa MUI No. 24 Tahun 2017 tentang Hukum dan Pedoman Bermuamalah melalui Media Sosial serta penguatan literasi digital berbasis nilai-nilai di lingkungan pendidikan dan keluarga.</w:t>
      </w:r>
    </w:p>
    <w:p>
      <w:pPr>
        <w:pStyle w:val="BodyText"/>
        <w:bidi w:val="0"/>
        <w:spacing w:lineRule="auto" w:line="360"/>
        <w:jc w:val="both"/>
        <w:rPr>
          <w:rFonts w:ascii="Times New Roman" w:hAnsi="Times New Roman"/>
          <w:sz w:val="22"/>
          <w:szCs w:val="22"/>
        </w:rPr>
      </w:pPr>
      <w:r>
        <w:rPr>
          <w:rFonts w:ascii="Times New Roman" w:hAnsi="Times New Roman"/>
          <w:sz w:val="22"/>
          <w:szCs w:val="22"/>
        </w:rPr>
      </w:r>
    </w:p>
    <w:p>
      <w:pPr>
        <w:pStyle w:val="BodyText"/>
        <w:bidi w:val="0"/>
        <w:spacing w:lineRule="auto" w:line="360"/>
        <w:jc w:val="both"/>
        <w:rPr>
          <w:rFonts w:ascii="Times New Roman" w:hAnsi="Times New Roman"/>
          <w:sz w:val="22"/>
          <w:szCs w:val="22"/>
        </w:rPr>
      </w:pPr>
      <w:r>
        <w:rPr>
          <w:rFonts w:ascii="Times New Roman" w:hAnsi="Times New Roman"/>
          <w:sz w:val="22"/>
          <w:szCs w:val="22"/>
        </w:rPr>
        <w:t>Pertanyaan:</w:t>
      </w:r>
    </w:p>
    <w:p>
      <w:pPr>
        <w:pStyle w:val="BodyText"/>
        <w:bidi w:val="0"/>
        <w:spacing w:lineRule="auto" w:line="360"/>
        <w:jc w:val="both"/>
        <w:rPr>
          <w:rFonts w:ascii="Times New Roman" w:hAnsi="Times New Roman"/>
          <w:sz w:val="22"/>
          <w:szCs w:val="22"/>
        </w:rPr>
      </w:pPr>
      <w:r>
        <w:rPr>
          <w:rFonts w:ascii="Times New Roman" w:hAnsi="Times New Roman"/>
          <w:sz w:val="22"/>
          <w:szCs w:val="22"/>
        </w:rPr>
        <w:t>1. Apa yang ingin didapatkan dari Mata Kuliah Pendidikan Agama dan Islamologi?</w:t>
      </w:r>
    </w:p>
    <w:p>
      <w:pPr>
        <w:pStyle w:val="BodyText"/>
        <w:bidi w:val="0"/>
        <w:spacing w:lineRule="auto" w:line="360"/>
        <w:jc w:val="both"/>
        <w:rPr>
          <w:rFonts w:ascii="Times New Roman" w:hAnsi="Times New Roman"/>
          <w:sz w:val="22"/>
          <w:szCs w:val="22"/>
        </w:rPr>
      </w:pPr>
      <w:r>
        <w:rPr>
          <w:rFonts w:ascii="Times New Roman" w:hAnsi="Times New Roman"/>
          <w:sz w:val="22"/>
          <w:szCs w:val="22"/>
        </w:rPr>
        <w:t xml:space="preserve">Mata kuliah ini diharapkan tidak sekedar mengajarkan doktrin keagamaan secara tekstual dan normatif. </w:t>
      </w:r>
      <w:r>
        <w:rPr>
          <w:rFonts w:ascii="Times New Roman" w:hAnsi="Times New Roman"/>
          <w:sz w:val="22"/>
          <w:szCs w:val="22"/>
        </w:rPr>
        <w:t>Secara spesifik, hal-hal yang ingin didapatkan itu mencakup:</w:t>
      </w:r>
    </w:p>
    <w:p>
      <w:pPr>
        <w:pStyle w:val="BodyText"/>
        <w:bidi w:val="0"/>
        <w:spacing w:lineRule="auto" w:line="360"/>
        <w:jc w:val="both"/>
        <w:rPr>
          <w:rFonts w:ascii="Times New Roman" w:hAnsi="Times New Roman"/>
          <w:sz w:val="22"/>
          <w:szCs w:val="22"/>
        </w:rPr>
      </w:pPr>
      <w:r>
        <w:rPr>
          <w:rFonts w:ascii="Times New Roman" w:hAnsi="Times New Roman"/>
          <w:sz w:val="22"/>
          <w:szCs w:val="22"/>
        </w:rPr>
        <w:t>a. Pemahaman Konseptual Integratif tentang Etika Digital Islam melalui perhubungan antara prinsip-prinsip islam seperti Tabayyun (Verifikasi), Sidq atau Shiddiq (Kejujuran), Amanah (Tanggung Jawab), dan Qaulan Sadidan (tutur kata lurus) berdasarkan fenomena media sosial saat ini.</w:t>
      </w:r>
    </w:p>
    <w:p>
      <w:pPr>
        <w:pStyle w:val="BodyText"/>
        <w:bidi w:val="0"/>
        <w:spacing w:lineRule="auto" w:line="360"/>
        <w:jc w:val="both"/>
        <w:rPr>
          <w:rFonts w:ascii="Times New Roman" w:hAnsi="Times New Roman"/>
          <w:sz w:val="22"/>
          <w:szCs w:val="22"/>
        </w:rPr>
      </w:pPr>
      <w:r>
        <w:rPr>
          <w:rFonts w:ascii="Times New Roman" w:hAnsi="Times New Roman"/>
          <w:sz w:val="22"/>
          <w:szCs w:val="22"/>
        </w:rPr>
        <w:t>b. Kepekaan dan Kesadaran Moral Bermedia sosial pada setiap aktivitas digital, yang dimana setiap kita melakukan aktivitas digital itu memiliki konsekuensi moral dan spiritual.</w:t>
      </w:r>
    </w:p>
    <w:p>
      <w:pPr>
        <w:pStyle w:val="BodyText"/>
        <w:bidi w:val="0"/>
        <w:spacing w:lineRule="auto" w:line="360"/>
        <w:jc w:val="both"/>
        <w:rPr>
          <w:rFonts w:ascii="Times New Roman" w:hAnsi="Times New Roman"/>
          <w:sz w:val="22"/>
          <w:szCs w:val="22"/>
        </w:rPr>
      </w:pPr>
      <w:r>
        <w:rPr>
          <w:rFonts w:ascii="Times New Roman" w:hAnsi="Times New Roman"/>
          <w:sz w:val="22"/>
          <w:szCs w:val="22"/>
        </w:rPr>
      </w:r>
    </w:p>
    <w:p>
      <w:pPr>
        <w:pStyle w:val="BodyText"/>
        <w:bidi w:val="0"/>
        <w:spacing w:lineRule="auto" w:line="360"/>
        <w:jc w:val="both"/>
        <w:rPr>
          <w:rFonts w:ascii="Times New Roman" w:hAnsi="Times New Roman"/>
          <w:sz w:val="22"/>
          <w:szCs w:val="22"/>
        </w:rPr>
      </w:pPr>
      <w:r>
        <w:rPr>
          <w:rFonts w:ascii="Times New Roman" w:hAnsi="Times New Roman"/>
          <w:sz w:val="22"/>
          <w:szCs w:val="22"/>
        </w:rPr>
        <w:t>2. Apa goal akhir yang ingin dicapai?</w:t>
      </w:r>
    </w:p>
    <w:p>
      <w:pPr>
        <w:pStyle w:val="BodyText"/>
        <w:bidi w:val="0"/>
        <w:spacing w:lineRule="auto" w:line="360"/>
        <w:jc w:val="both"/>
        <w:rPr>
          <w:rFonts w:ascii="Times New Roman" w:hAnsi="Times New Roman"/>
          <w:sz w:val="22"/>
          <w:szCs w:val="22"/>
        </w:rPr>
      </w:pPr>
      <w:r>
        <w:rPr>
          <w:rFonts w:ascii="Times New Roman" w:hAnsi="Times New Roman"/>
          <w:sz w:val="22"/>
          <w:szCs w:val="22"/>
        </w:rPr>
        <w:t>Ada beberapa goal akhir yang ingin saya dapatkan dari Mata Kuliah ini, diantaranya:</w:t>
      </w:r>
    </w:p>
    <w:p>
      <w:pPr>
        <w:pStyle w:val="BodyText"/>
        <w:bidi w:val="0"/>
        <w:spacing w:lineRule="auto" w:line="360"/>
        <w:jc w:val="both"/>
        <w:rPr>
          <w:rFonts w:ascii="Times New Roman" w:hAnsi="Times New Roman"/>
          <w:sz w:val="22"/>
          <w:szCs w:val="22"/>
        </w:rPr>
      </w:pPr>
      <w:r>
        <w:rPr>
          <w:rFonts w:ascii="Times New Roman" w:hAnsi="Times New Roman"/>
          <w:sz w:val="22"/>
          <w:szCs w:val="22"/>
        </w:rPr>
        <w:t>a. Terbentuknya Karakter Islamic Digital Citizen agar menjadi pribadi Muslim yang tidak hanya cakap teknologi, tetapi juga memiliki integritas moral, ketahanan etis, dan kesolehan digital di tengah arus disrupsi informasi ini.</w:t>
      </w:r>
    </w:p>
    <w:p>
      <w:pPr>
        <w:pStyle w:val="BodyText"/>
        <w:bidi w:val="0"/>
        <w:spacing w:lineRule="auto" w:line="360"/>
        <w:jc w:val="both"/>
        <w:rPr>
          <w:rFonts w:ascii="Times New Roman" w:hAnsi="Times New Roman"/>
          <w:sz w:val="22"/>
          <w:szCs w:val="22"/>
        </w:rPr>
      </w:pPr>
      <w:r>
        <w:rPr>
          <w:rFonts w:ascii="Times New Roman" w:hAnsi="Times New Roman"/>
          <w:sz w:val="22"/>
          <w:szCs w:val="22"/>
        </w:rPr>
        <w:t>b. Menerapkan prinsip Tabayyun dalam perilaku digital, yang dimana prinsip Tabayyun ini bukan lagi sebagai wacana teologis, melainkan refleksi diri dalam menyaring setiap informasi di ruang digital.</w:t>
      </w:r>
    </w:p>
    <w:p>
      <w:pPr>
        <w:pStyle w:val="BodyText"/>
        <w:bidi w:val="0"/>
        <w:spacing w:lineRule="auto" w:line="360"/>
        <w:jc w:val="both"/>
        <w:rPr>
          <w:rFonts w:ascii="Times New Roman" w:hAnsi="Times New Roman"/>
          <w:sz w:val="22"/>
          <w:szCs w:val="22"/>
        </w:rPr>
      </w:pPr>
      <w:r>
        <w:rPr>
          <w:rFonts w:ascii="Times New Roman" w:hAnsi="Times New Roman"/>
          <w:sz w:val="22"/>
          <w:szCs w:val="22"/>
        </w:rPr>
        <w:t>c. Mampu memanfaatkan platform digital dan media sosial sebagai sarana dakwah yang inklusif, edukatif serta aktif berkontribusi dalam mewujudkan ekosistem digital yang sehat.</w:t>
      </w:r>
    </w:p>
    <w:p>
      <w:pPr>
        <w:pStyle w:val="BodyText"/>
        <w:bidi w:val="0"/>
        <w:spacing w:lineRule="auto" w:line="360"/>
        <w:jc w:val="both"/>
        <w:rPr>
          <w:rFonts w:ascii="Times New Roman" w:hAnsi="Times New Roman"/>
          <w:sz w:val="22"/>
          <w:szCs w:val="22"/>
        </w:rPr>
      </w:pPr>
      <w:r>
        <w:rPr>
          <w:rFonts w:ascii="Times New Roman" w:hAnsi="Times New Roman"/>
          <w:sz w:val="22"/>
          <w:szCs w:val="22"/>
        </w:rPr>
      </w:r>
    </w:p>
    <w:p>
      <w:pPr>
        <w:pStyle w:val="BodyText"/>
        <w:bidi w:val="0"/>
        <w:spacing w:lineRule="auto" w:line="360"/>
        <w:jc w:val="both"/>
        <w:rPr>
          <w:rFonts w:ascii="Times New Roman" w:hAnsi="Times New Roman"/>
          <w:sz w:val="22"/>
          <w:szCs w:val="22"/>
        </w:rPr>
      </w:pPr>
      <w:r>
        <w:rPr>
          <w:rFonts w:ascii="Times New Roman" w:hAnsi="Times New Roman"/>
          <w:sz w:val="22"/>
          <w:szCs w:val="22"/>
        </w:rPr>
        <w:t>Sumber:</w:t>
      </w:r>
    </w:p>
    <w:p>
      <w:pPr>
        <w:pStyle w:val="BodyText"/>
        <w:bidi w:val="0"/>
        <w:spacing w:lineRule="auto" w:line="360"/>
        <w:jc w:val="both"/>
        <w:rPr>
          <w:rFonts w:ascii="Times New Roman" w:hAnsi="Times New Roman"/>
        </w:rPr>
      </w:pPr>
      <w:r>
        <w:rPr>
          <w:rFonts w:ascii="Times New Roman" w:hAnsi="Times New Roman"/>
          <w:sz w:val="22"/>
          <w:szCs w:val="22"/>
        </w:rPr>
        <w:t xml:space="preserve">- TABAYYUN SEBAGAI PRINSIP KOMUNIKASI ISLAM DALAM MENGHADAPI HOAKS. (2026). Nubuwwah : Journal of Communication and Islamic Broadcasting, 4(01), 21-32. </w:t>
      </w:r>
      <w:hyperlink r:id="rId2">
        <w:r>
          <w:rPr>
            <w:rStyle w:val="Hyperlink"/>
            <w:rFonts w:ascii="Times New Roman" w:hAnsi="Times New Roman"/>
            <w:sz w:val="22"/>
            <w:szCs w:val="22"/>
          </w:rPr>
          <w:t>https://doi.org/10.21093/nubuwwah.v4i01.13126</w:t>
        </w:r>
      </w:hyperlink>
    </w:p>
    <w:p>
      <w:pPr>
        <w:pStyle w:val="BodyText"/>
        <w:bidi w:val="0"/>
        <w:spacing w:lineRule="auto" w:line="360"/>
        <w:jc w:val="both"/>
        <w:rPr>
          <w:rFonts w:ascii="Times New Roman" w:hAnsi="Times New Roman"/>
        </w:rPr>
      </w:pPr>
      <w:r>
        <w:rPr>
          <w:rFonts w:ascii="Times New Roman" w:hAnsi="Times New Roman"/>
          <w:sz w:val="22"/>
          <w:szCs w:val="22"/>
        </w:rPr>
        <w:t xml:space="preserve">- Soadikin, M., Nurmianty, C., &amp; Nasrullah, N. (2026). Tingkat Kesadaran Etika Informasi Islam pada Mahasiswa Semester 2 Universitas Muhammadiyah Mataram. Tik Ilmeu: Jurnal Ilmu Perpustakaan Dan Informasi, 10(1), 203–214. </w:t>
      </w:r>
      <w:hyperlink r:id="rId3">
        <w:r>
          <w:rPr>
            <w:rStyle w:val="Hyperlink"/>
            <w:rFonts w:ascii="Times New Roman" w:hAnsi="Times New Roman"/>
            <w:sz w:val="22"/>
            <w:szCs w:val="22"/>
          </w:rPr>
          <w:t>https://doi.org/10.29240/tik.v10i1.16968</w:t>
        </w:r>
      </w:hyperlink>
    </w:p>
    <w:p>
      <w:pPr>
        <w:pStyle w:val="BodyText"/>
        <w:bidi w:val="0"/>
        <w:spacing w:lineRule="auto" w:line="360"/>
        <w:jc w:val="both"/>
        <w:rPr>
          <w:rFonts w:ascii="Times New Roman" w:hAnsi="Times New Roman"/>
        </w:rPr>
      </w:pPr>
      <w:r>
        <w:rPr>
          <w:rFonts w:ascii="Times New Roman" w:hAnsi="Times New Roman"/>
          <w:sz w:val="22"/>
          <w:szCs w:val="22"/>
        </w:rPr>
        <w:t xml:space="preserve">- Lokman, M. A. A., Mohd Noor, M., Mohamad Nadzli, N. S., Suyurno, S. S., Harun, M. S., &amp; Kayadibi, S. (2026). Applying Al-Ta’lil bi Al-Hikmah to Social Media Use: A Complementary to the Maqasid Shariah Approach in Islamic Digital Ethics. Millah: Journal of Religious Studies, 25(1), 291–324. </w:t>
      </w:r>
      <w:hyperlink r:id="rId4">
        <w:r>
          <w:rPr>
            <w:rStyle w:val="Hyperlink"/>
            <w:rFonts w:ascii="Times New Roman" w:hAnsi="Times New Roman"/>
            <w:sz w:val="22"/>
            <w:szCs w:val="22"/>
          </w:rPr>
          <w:t>https://doi.org/10.20885/millah.vol25.iss1.art8</w:t>
        </w:r>
      </w:hyperlink>
    </w:p>
    <w:p>
      <w:pPr>
        <w:pStyle w:val="BodyText"/>
        <w:bidi w:val="0"/>
        <w:spacing w:lineRule="auto" w:line="360" w:before="0" w:after="140"/>
        <w:jc w:val="both"/>
        <w:rPr>
          <w:rFonts w:ascii="Times New Roman" w:hAnsi="Times New Roman"/>
          <w:sz w:val="22"/>
          <w:szCs w:val="22"/>
        </w:rPr>
      </w:pPr>
      <w:r>
        <w:rPr>
          <w:rFonts w:ascii="Times New Roman" w:hAnsi="Times New Roman"/>
          <w:sz w:val="22"/>
          <w:szCs w:val="22"/>
        </w:rPr>
        <w:t>- M. Yasin, “Otoritas Keagamaan di Era Digital: Tantangan Disinformasi, Dakwah Digital, dan Rekonfigurasi Wewenang Ulama,” An-Nida: Jurnal Pendidikan Islam, vol. 14, no. 1, pp. 60–72, 2025, doi: 10.30999/an-nida.v14i1.4158</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Times New Roman">
    <w:charset w:val="01"/>
    <w:family w:val="roman"/>
    <w:pitch w:val="variable"/>
  </w:font>
</w:fonts>
</file>

<file path=word/settings.xml><?xml version="1.0" encoding="utf-8"?>
<w:settings xmlns:w="http://schemas.openxmlformats.org/wordprocessingml/2006/main">
  <w:zoom w:percent="80"/>
  <w:defaultTabStop w:val="709"/>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kern w:val="2"/>
        <w:sz w:val="24"/>
        <w:szCs w:val="24"/>
        <w:lang w:val="en-ID"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Songti SC" w:cs="Arial Unicode MS"/>
      <w:color w:val="auto"/>
      <w:kern w:val="2"/>
      <w:sz w:val="24"/>
      <w:szCs w:val="24"/>
      <w:lang w:val="en-ID" w:eastAsia="zh-CN" w:bidi="hi-IN"/>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oi.org/10.21093/nubuwwah.v4i01.13126" TargetMode="External"/><Relationship Id="rId3" Type="http://schemas.openxmlformats.org/officeDocument/2006/relationships/hyperlink" Target="https://doi.org/10.29240/tik.v10i1.16968" TargetMode="External"/><Relationship Id="rId4" Type="http://schemas.openxmlformats.org/officeDocument/2006/relationships/hyperlink" Target="https://doi.org/10.20885/millah.vol25.iss1.art8" TargetMode="Externa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17</TotalTime>
  <Application>LibreOffice/26.8.0.3$MacOSX_AARCH64 LibreOffice_project/bce0998afefdbc355585ca324285661a2170ba77</Application>
  <AppVersion>15.0000</AppVersion>
  <Pages>3</Pages>
  <Words>670</Words>
  <Characters>4471</Characters>
  <CharactersWithSpaces>5107</CharactersWithSpaces>
  <Paragraphs>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2026-09-22T09:33:44Z</dcterms:created>
  <dc:creator/>
  <dc:description/>
  <dc:language>en-ID</dc:language>
  <cp:lastModifiedBy/>
  <dcterms:modified xsi:type="dcterms:W3CDTF">2026-09-22T10:37:06Z</dcterms:modified>
  <cp:revision>2</cp:revision>
  <dc:subject/>
  <dc:title/>
</cp:coreProperties>
</file>