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44E" w:rsidRPr="00CC03D1" w:rsidRDefault="0093744E" w:rsidP="0093744E">
      <w:pPr>
        <w:ind w:left="360"/>
        <w:rPr>
          <w:rFonts w:cstheme="minorHAnsi"/>
          <w:b/>
          <w:lang w:val="en-CA"/>
        </w:rPr>
      </w:pPr>
      <w:r w:rsidRPr="00CC03D1">
        <w:rPr>
          <w:rFonts w:cstheme="minorHAnsi"/>
          <w:b/>
          <w:lang w:val="en-CA"/>
        </w:rPr>
        <w:t>Student: Yeyi Billa</w:t>
      </w:r>
      <w:r w:rsidRPr="00CC03D1">
        <w:rPr>
          <w:rFonts w:cstheme="minorHAnsi"/>
          <w:b/>
          <w:lang w:val="en-CA"/>
        </w:rPr>
        <w:tab/>
      </w:r>
      <w:r w:rsidRPr="00CC03D1">
        <w:rPr>
          <w:rFonts w:cstheme="minorHAnsi"/>
          <w:b/>
          <w:lang w:val="en-CA"/>
        </w:rPr>
        <w:tab/>
      </w:r>
      <w:r w:rsidRPr="00CC03D1">
        <w:rPr>
          <w:rFonts w:cstheme="minorHAnsi"/>
          <w:b/>
          <w:lang w:val="en-CA"/>
        </w:rPr>
        <w:tab/>
      </w:r>
      <w:r w:rsidRPr="00CC03D1">
        <w:rPr>
          <w:rFonts w:cstheme="minorHAnsi"/>
          <w:b/>
          <w:lang w:val="en-CA"/>
        </w:rPr>
        <w:tab/>
      </w:r>
      <w:r w:rsidRPr="00CC03D1">
        <w:rPr>
          <w:rFonts w:cstheme="minorHAnsi"/>
          <w:b/>
          <w:lang w:val="en-CA"/>
        </w:rPr>
        <w:tab/>
        <w:t xml:space="preserve"> Instructor:</w:t>
      </w:r>
      <w:r w:rsidRPr="00CC03D1">
        <w:rPr>
          <w:rFonts w:cstheme="minorHAnsi"/>
        </w:rPr>
        <w:t xml:space="preserve"> </w:t>
      </w:r>
      <w:proofErr w:type="spellStart"/>
      <w:r>
        <w:rPr>
          <w:rFonts w:cstheme="minorHAnsi"/>
          <w:b/>
          <w:lang w:val="en-CA"/>
        </w:rPr>
        <w:t>Sintim</w:t>
      </w:r>
      <w:proofErr w:type="spellEnd"/>
      <w:r>
        <w:rPr>
          <w:rFonts w:cstheme="minorHAnsi"/>
          <w:b/>
          <w:lang w:val="en-CA"/>
        </w:rPr>
        <w:t xml:space="preserve"> </w:t>
      </w:r>
      <w:proofErr w:type="spellStart"/>
      <w:r>
        <w:rPr>
          <w:rFonts w:cstheme="minorHAnsi"/>
          <w:b/>
          <w:lang w:val="en-CA"/>
        </w:rPr>
        <w:t>A</w:t>
      </w:r>
      <w:r w:rsidR="00D03F45">
        <w:rPr>
          <w:rFonts w:cstheme="minorHAnsi"/>
          <w:b/>
          <w:lang w:val="en-CA"/>
        </w:rPr>
        <w:t>boag</w:t>
      </w:r>
      <w:r>
        <w:rPr>
          <w:rFonts w:cstheme="minorHAnsi"/>
          <w:b/>
          <w:lang w:val="en-CA"/>
        </w:rPr>
        <w:t>y</w:t>
      </w:r>
      <w:r w:rsidR="00D03F45">
        <w:rPr>
          <w:rFonts w:cstheme="minorHAnsi"/>
          <w:b/>
          <w:lang w:val="en-CA"/>
        </w:rPr>
        <w:t>e</w:t>
      </w:r>
      <w:proofErr w:type="spellEnd"/>
      <w:r>
        <w:rPr>
          <w:rFonts w:cstheme="minorHAnsi"/>
          <w:b/>
          <w:lang w:val="en-CA"/>
        </w:rPr>
        <w:t>, Hermann</w:t>
      </w:r>
      <w:r w:rsidRPr="00CC03D1">
        <w:rPr>
          <w:rFonts w:cstheme="minorHAnsi"/>
          <w:b/>
          <w:lang w:val="en-CA"/>
        </w:rPr>
        <w:t xml:space="preserve"> </w:t>
      </w:r>
    </w:p>
    <w:p w:rsidR="0093744E" w:rsidRPr="00CC03D1" w:rsidRDefault="0093744E" w:rsidP="0093744E">
      <w:pPr>
        <w:ind w:left="360"/>
        <w:rPr>
          <w:rFonts w:cstheme="minorHAnsi"/>
          <w:b/>
          <w:lang w:val="en-CA"/>
        </w:rPr>
      </w:pPr>
      <w:r>
        <w:rPr>
          <w:rFonts w:cstheme="minorHAnsi"/>
          <w:b/>
          <w:lang w:val="en-CA"/>
        </w:rPr>
        <w:t>FINC430_01FA20</w:t>
      </w:r>
      <w:r w:rsidRPr="00CC03D1">
        <w:rPr>
          <w:rFonts w:cstheme="minorHAnsi"/>
          <w:b/>
          <w:lang w:val="en-CA"/>
        </w:rPr>
        <w:t>:</w:t>
      </w:r>
      <w:r>
        <w:rPr>
          <w:rFonts w:cstheme="minorHAnsi"/>
          <w:b/>
          <w:lang w:val="en-CA"/>
        </w:rPr>
        <w:t xml:space="preserve"> FUTURES/OPTIONS/DERIVATIVES</w:t>
      </w:r>
      <w:r>
        <w:rPr>
          <w:rFonts w:cstheme="minorHAnsi"/>
          <w:b/>
          <w:lang w:val="en-CA"/>
        </w:rPr>
        <w:tab/>
      </w:r>
      <w:r>
        <w:rPr>
          <w:rFonts w:cstheme="minorHAnsi"/>
          <w:b/>
          <w:lang w:val="en-CA"/>
        </w:rPr>
        <w:tab/>
      </w:r>
      <w:r w:rsidRPr="00CC03D1">
        <w:rPr>
          <w:rFonts w:cstheme="minorHAnsi"/>
          <w:b/>
          <w:lang w:val="en-CA"/>
        </w:rPr>
        <w:tab/>
      </w:r>
      <w:r w:rsidRPr="00CC03D1">
        <w:rPr>
          <w:rFonts w:cstheme="minorHAnsi"/>
          <w:b/>
          <w:noProof/>
          <w:lang w:val="fr-FR" w:eastAsia="fr-FR"/>
        </w:rPr>
        <w:drawing>
          <wp:inline distT="0" distB="0" distL="0" distR="0" wp14:anchorId="172556D3" wp14:editId="0E80A6E9">
            <wp:extent cx="1244600" cy="560614"/>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567" cy="585823"/>
                    </a:xfrm>
                    <a:prstGeom prst="rect">
                      <a:avLst/>
                    </a:prstGeom>
                    <a:noFill/>
                  </pic:spPr>
                </pic:pic>
              </a:graphicData>
            </a:graphic>
          </wp:inline>
        </w:drawing>
      </w:r>
    </w:p>
    <w:p w:rsidR="0093744E" w:rsidRPr="00CC03D1" w:rsidRDefault="0093744E" w:rsidP="0093744E">
      <w:pPr>
        <w:ind w:left="360"/>
        <w:rPr>
          <w:rFonts w:cstheme="minorHAnsi"/>
          <w:b/>
        </w:rPr>
      </w:pPr>
      <w:r>
        <w:rPr>
          <w:rFonts w:cstheme="minorHAnsi"/>
          <w:b/>
        </w:rPr>
        <w:t>Date: 12/07</w:t>
      </w:r>
      <w:r w:rsidRPr="00CC03D1">
        <w:rPr>
          <w:rFonts w:cstheme="minorHAnsi"/>
          <w:b/>
        </w:rPr>
        <w:t>/2020</w:t>
      </w:r>
    </w:p>
    <w:p w:rsidR="0093744E" w:rsidRDefault="0093744E" w:rsidP="008C7158">
      <w:pPr>
        <w:spacing w:line="480" w:lineRule="auto"/>
        <w:rPr>
          <w:rFonts w:cstheme="minorHAnsi"/>
        </w:rPr>
      </w:pPr>
    </w:p>
    <w:p w:rsidR="00056FD7" w:rsidRDefault="00056FD7" w:rsidP="008C7158">
      <w:pPr>
        <w:spacing w:line="480" w:lineRule="auto"/>
        <w:rPr>
          <w:rFonts w:cstheme="minorHAnsi"/>
        </w:rPr>
      </w:pPr>
    </w:p>
    <w:p w:rsidR="00056FD7" w:rsidRPr="0093744E" w:rsidRDefault="0093744E" w:rsidP="00056FD7">
      <w:pPr>
        <w:spacing w:line="480" w:lineRule="auto"/>
        <w:jc w:val="center"/>
        <w:rPr>
          <w:rFonts w:cstheme="minorHAns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744E">
        <w:rPr>
          <w:rFonts w:cstheme="minorHAns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 &amp; Exchange Analysis Project</w:t>
      </w:r>
    </w:p>
    <w:p w:rsidR="0093744E" w:rsidRDefault="00056FD7" w:rsidP="008C7158">
      <w:pPr>
        <w:spacing w:line="480" w:lineRule="auto"/>
        <w:rPr>
          <w:rFonts w:cstheme="minorHAnsi"/>
        </w:rPr>
      </w:pPr>
      <w:r w:rsidRPr="00056FD7">
        <w:rPr>
          <w:rFonts w:cstheme="minorHAnsi"/>
          <w:lang w:val="fr-FR"/>
        </w:rPr>
        <w:drawing>
          <wp:inline distT="0" distB="0" distL="0" distR="0">
            <wp:extent cx="5760720" cy="2995574"/>
            <wp:effectExtent l="0" t="0" r="0" b="0"/>
            <wp:docPr id="3" name="Picture 3" descr="Forex Currency: Dollar is down against its major rivals - Brokers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x Currency: Dollar is down against its major rivals - Brokers Wa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95574"/>
                    </a:xfrm>
                    <a:prstGeom prst="rect">
                      <a:avLst/>
                    </a:prstGeom>
                    <a:noFill/>
                    <a:ln>
                      <a:noFill/>
                    </a:ln>
                  </pic:spPr>
                </pic:pic>
              </a:graphicData>
            </a:graphic>
          </wp:inline>
        </w:drawing>
      </w:r>
    </w:p>
    <w:p w:rsidR="00056FD7" w:rsidRDefault="00056FD7" w:rsidP="008C7158">
      <w:pPr>
        <w:spacing w:line="480" w:lineRule="auto"/>
        <w:rPr>
          <w:rFonts w:cstheme="minorHAnsi"/>
        </w:rPr>
      </w:pPr>
    </w:p>
    <w:p w:rsidR="00056FD7" w:rsidRDefault="00056FD7" w:rsidP="008C7158">
      <w:pPr>
        <w:spacing w:line="480" w:lineRule="auto"/>
        <w:rPr>
          <w:rFonts w:cstheme="minorHAnsi"/>
        </w:rPr>
      </w:pPr>
      <w:r>
        <w:rPr>
          <w:rFonts w:cstheme="minorHAnsi"/>
        </w:rPr>
        <w:t xml:space="preserve">Commodity Assigned: </w:t>
      </w:r>
      <w:r w:rsidRPr="00056FD7">
        <w:rPr>
          <w:rFonts w:cstheme="minorHAnsi"/>
          <w:b/>
        </w:rPr>
        <w:t xml:space="preserve">Corn </w:t>
      </w:r>
      <w:r>
        <w:rPr>
          <w:rFonts w:cstheme="minorHAnsi"/>
        </w:rPr>
        <w:t xml:space="preserve">  </w:t>
      </w:r>
      <w:r>
        <w:rPr>
          <w:rFonts w:cstheme="minorHAnsi"/>
        </w:rPr>
        <w:t xml:space="preserve"> </w:t>
      </w:r>
      <w:r w:rsidRPr="00056FD7">
        <w:rPr>
          <w:rFonts w:cstheme="minorHAnsi"/>
          <w:lang w:val="fr-FR"/>
        </w:rPr>
        <w:drawing>
          <wp:inline distT="0" distB="0" distL="0" distR="0">
            <wp:extent cx="1075055" cy="740228"/>
            <wp:effectExtent l="0" t="0" r="0" b="3175"/>
            <wp:docPr id="5" name="Picture 5" descr="Corn clipart. Free download transparent .PNG | Crea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n clipart. Free download transparent .PNG | Creazill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1351" cy="758334"/>
                    </a:xfrm>
                    <a:prstGeom prst="rect">
                      <a:avLst/>
                    </a:prstGeom>
                    <a:noFill/>
                    <a:ln>
                      <a:noFill/>
                    </a:ln>
                  </pic:spPr>
                </pic:pic>
              </a:graphicData>
            </a:graphic>
          </wp:inline>
        </w:drawing>
      </w:r>
    </w:p>
    <w:p w:rsidR="00056FD7" w:rsidRPr="00D03F45" w:rsidRDefault="00056FD7" w:rsidP="008C7158">
      <w:pPr>
        <w:spacing w:line="480" w:lineRule="auto"/>
        <w:rPr>
          <w:rFonts w:cstheme="minorHAnsi"/>
          <w:b/>
          <w:lang w:val="fr-FR"/>
        </w:rPr>
      </w:pPr>
      <w:r>
        <w:rPr>
          <w:rFonts w:cstheme="minorHAnsi"/>
        </w:rPr>
        <w:t xml:space="preserve">Stock Exchange: </w:t>
      </w:r>
      <w:r w:rsidRPr="00056FD7">
        <w:rPr>
          <w:rFonts w:cstheme="minorHAnsi"/>
          <w:b/>
        </w:rPr>
        <w:t>Chicago Board of Trade (CBOT)</w:t>
      </w:r>
      <w:r w:rsidR="00D03F45" w:rsidRPr="00D03F45">
        <w:t xml:space="preserve"> </w:t>
      </w:r>
      <w:r w:rsidR="00D03F45" w:rsidRPr="00D03F45">
        <w:rPr>
          <w:rFonts w:cstheme="minorHAnsi"/>
          <w:b/>
          <w:lang w:val="fr-FR"/>
        </w:rPr>
        <w:drawing>
          <wp:inline distT="0" distB="0" distL="0" distR="0">
            <wp:extent cx="1719580" cy="881742"/>
            <wp:effectExtent l="0" t="0" r="0" b="0"/>
            <wp:docPr id="9" name="Picture 9" descr="Chicago in HDR / My Vision (Exposure Blends) | The Chicago Board of Trade  at Night Revisited | Chicago at night, Chicago aesthetic, Chicago lake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icago in HDR / My Vision (Exposure Blends) | The Chicago Board of Trade  at Night Revisited | Chicago at night, Chicago aesthetic, Chicago lakefro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8651" cy="994074"/>
                    </a:xfrm>
                    <a:prstGeom prst="rect">
                      <a:avLst/>
                    </a:prstGeom>
                    <a:noFill/>
                    <a:ln>
                      <a:noFill/>
                    </a:ln>
                  </pic:spPr>
                </pic:pic>
              </a:graphicData>
            </a:graphic>
          </wp:inline>
        </w:drawing>
      </w:r>
    </w:p>
    <w:p w:rsidR="006E1C17" w:rsidRPr="00F24975" w:rsidRDefault="00DB12A8" w:rsidP="008C7158">
      <w:pPr>
        <w:spacing w:line="480" w:lineRule="auto"/>
        <w:rPr>
          <w:rFonts w:cstheme="minorHAnsi"/>
        </w:rPr>
      </w:pPr>
      <w:r>
        <w:rPr>
          <w:rFonts w:cstheme="minorHAnsi"/>
        </w:rPr>
        <w:lastRenderedPageBreak/>
        <w:t>The Chicago board of trade (</w:t>
      </w:r>
      <w:r w:rsidR="00525F6A" w:rsidRPr="00F24975">
        <w:rPr>
          <w:rFonts w:cstheme="minorHAnsi"/>
        </w:rPr>
        <w:t>CBOT</w:t>
      </w:r>
      <w:r>
        <w:rPr>
          <w:rFonts w:cstheme="minorHAnsi"/>
        </w:rPr>
        <w:t>)</w:t>
      </w:r>
      <w:r w:rsidR="00525F6A" w:rsidRPr="00F24975">
        <w:rPr>
          <w:rFonts w:cstheme="minorHAnsi"/>
        </w:rPr>
        <w:t xml:space="preserve"> is an American stock exchange headquartered in Chicago. Founded in 1848, the </w:t>
      </w:r>
      <w:r>
        <w:rPr>
          <w:rFonts w:cstheme="minorHAnsi"/>
        </w:rPr>
        <w:t>CBOT</w:t>
      </w:r>
      <w:r w:rsidR="00525F6A" w:rsidRPr="00F24975">
        <w:rPr>
          <w:rFonts w:cstheme="minorHAnsi"/>
        </w:rPr>
        <w:t xml:space="preserve"> is the oldes</w:t>
      </w:r>
      <w:r>
        <w:rPr>
          <w:rFonts w:cstheme="minorHAnsi"/>
        </w:rPr>
        <w:t>t trading exchange in the world and</w:t>
      </w:r>
      <w:r w:rsidR="006E1C17" w:rsidRPr="00F24975">
        <w:rPr>
          <w:rFonts w:cstheme="minorHAnsi"/>
        </w:rPr>
        <w:t xml:space="preserve"> is now part of Chicago Mercantile Exchange</w:t>
      </w:r>
      <w:r>
        <w:rPr>
          <w:rFonts w:cstheme="minorHAnsi"/>
        </w:rPr>
        <w:t xml:space="preserve"> (CME)</w:t>
      </w:r>
      <w:r w:rsidR="006E1C17" w:rsidRPr="00F24975">
        <w:rPr>
          <w:rFonts w:cstheme="minorHAnsi"/>
        </w:rPr>
        <w:t xml:space="preserve"> Group following its acquisition on July 12, 2007. </w:t>
      </w:r>
      <w:r w:rsidR="00773E82">
        <w:rPr>
          <w:rFonts w:cstheme="minorHAnsi"/>
        </w:rPr>
        <w:t xml:space="preserve">In 1992, Because of </w:t>
      </w:r>
      <w:r w:rsidR="00773E82" w:rsidRPr="00773E82">
        <w:rPr>
          <w:rFonts w:cstheme="minorHAnsi"/>
        </w:rPr>
        <w:t>market share</w:t>
      </w:r>
      <w:r w:rsidR="00773E82">
        <w:rPr>
          <w:rFonts w:cstheme="minorHAnsi"/>
        </w:rPr>
        <w:t xml:space="preserve"> loss</w:t>
      </w:r>
      <w:r w:rsidR="00773E82" w:rsidRPr="00773E82">
        <w:rPr>
          <w:rFonts w:cstheme="minorHAnsi"/>
        </w:rPr>
        <w:t xml:space="preserve">, CME </w:t>
      </w:r>
      <w:r w:rsidR="00773E82">
        <w:rPr>
          <w:rFonts w:cstheme="minorHAnsi"/>
        </w:rPr>
        <w:t xml:space="preserve">group included CBOT </w:t>
      </w:r>
      <w:r w:rsidR="00773E82" w:rsidRPr="00773E82">
        <w:rPr>
          <w:rFonts w:cstheme="minorHAnsi"/>
        </w:rPr>
        <w:t xml:space="preserve">launched </w:t>
      </w:r>
      <w:r w:rsidR="00773E82">
        <w:rPr>
          <w:rFonts w:cstheme="minorHAnsi"/>
        </w:rPr>
        <w:t>online trading applications</w:t>
      </w:r>
      <w:r w:rsidR="00773E82" w:rsidRPr="00773E82">
        <w:rPr>
          <w:rFonts w:cstheme="minorHAnsi"/>
        </w:rPr>
        <w:t xml:space="preserve">. </w:t>
      </w:r>
      <w:r w:rsidR="00773E82">
        <w:rPr>
          <w:rFonts w:cstheme="minorHAnsi"/>
        </w:rPr>
        <w:t xml:space="preserve">From 1992 to </w:t>
      </w:r>
      <w:r w:rsidR="00773E82" w:rsidRPr="00773E82">
        <w:rPr>
          <w:rFonts w:cstheme="minorHAnsi"/>
        </w:rPr>
        <w:t xml:space="preserve">2004, one billion futures contracts were traded electronically on CME </w:t>
      </w:r>
      <w:proofErr w:type="spellStart"/>
      <w:r w:rsidR="00773E82" w:rsidRPr="00773E82">
        <w:rPr>
          <w:rFonts w:cstheme="minorHAnsi"/>
        </w:rPr>
        <w:t>Globex</w:t>
      </w:r>
      <w:proofErr w:type="spellEnd"/>
      <w:r w:rsidR="00773E82" w:rsidRPr="00773E82">
        <w:rPr>
          <w:rFonts w:cstheme="minorHAnsi"/>
        </w:rPr>
        <w:t xml:space="preserve"> platform</w:t>
      </w:r>
      <w:r w:rsidR="00773E82">
        <w:rPr>
          <w:rFonts w:cstheme="minorHAnsi"/>
        </w:rPr>
        <w:t xml:space="preserve"> and the trades</w:t>
      </w:r>
      <w:r w:rsidR="00773E82" w:rsidRPr="00773E82">
        <w:rPr>
          <w:rFonts w:cstheme="minorHAnsi"/>
        </w:rPr>
        <w:t xml:space="preserve"> represented 61% of all CME volume. In 2015, 99% of all futures contracts traded on the CME were made electronically.</w:t>
      </w:r>
    </w:p>
    <w:p w:rsidR="00525F6A" w:rsidRPr="00F24975" w:rsidRDefault="00525F6A" w:rsidP="008C7158">
      <w:pPr>
        <w:pStyle w:val="ListParagraph"/>
        <w:numPr>
          <w:ilvl w:val="0"/>
          <w:numId w:val="2"/>
        </w:numPr>
        <w:spacing w:line="480" w:lineRule="auto"/>
        <w:rPr>
          <w:rFonts w:cstheme="minorHAnsi"/>
        </w:rPr>
      </w:pPr>
      <w:r w:rsidRPr="00F24975">
        <w:rPr>
          <w:rFonts w:cstheme="minorHAnsi"/>
        </w:rPr>
        <w:t>Typical Derivatives traded</w:t>
      </w:r>
    </w:p>
    <w:p w:rsidR="00F24975" w:rsidRPr="00F24975" w:rsidRDefault="008C7158" w:rsidP="008C7158">
      <w:pPr>
        <w:spacing w:line="480" w:lineRule="auto"/>
        <w:rPr>
          <w:rFonts w:cstheme="minorHAnsi"/>
        </w:rPr>
      </w:pPr>
      <w:r>
        <w:rPr>
          <w:rFonts w:cstheme="minorHAnsi"/>
        </w:rPr>
        <w:t xml:space="preserve">The </w:t>
      </w:r>
      <w:r w:rsidR="00405D72" w:rsidRPr="00F24975">
        <w:rPr>
          <w:rFonts w:cstheme="minorHAnsi"/>
        </w:rPr>
        <w:t>CBOT</w:t>
      </w:r>
      <w:r w:rsidR="00525F6A" w:rsidRPr="00F24975">
        <w:rPr>
          <w:rFonts w:cstheme="minorHAnsi"/>
        </w:rPr>
        <w:t xml:space="preserve"> is a stock market where derivatives such a</w:t>
      </w:r>
      <w:r>
        <w:rPr>
          <w:rFonts w:cstheme="minorHAnsi"/>
        </w:rPr>
        <w:t>s options and futures</w:t>
      </w:r>
      <w:r w:rsidR="00525F6A" w:rsidRPr="00F24975">
        <w:rPr>
          <w:rFonts w:cstheme="minorHAnsi"/>
        </w:rPr>
        <w:t xml:space="preserve"> </w:t>
      </w:r>
      <w:r w:rsidR="00DB12A8">
        <w:rPr>
          <w:rFonts w:cstheme="minorHAnsi"/>
        </w:rPr>
        <w:t xml:space="preserve">on </w:t>
      </w:r>
      <w:r w:rsidR="00525F6A" w:rsidRPr="00F24975">
        <w:rPr>
          <w:rFonts w:cstheme="minorHAnsi"/>
        </w:rPr>
        <w:t xml:space="preserve">commodities including </w:t>
      </w:r>
      <w:r w:rsidR="00DB12A8">
        <w:rPr>
          <w:rFonts w:cstheme="minorHAnsi"/>
        </w:rPr>
        <w:t>agricultural products</w:t>
      </w:r>
      <w:r w:rsidR="00DB12A8">
        <w:rPr>
          <w:rFonts w:cstheme="minorHAnsi"/>
        </w:rPr>
        <w:t>, energy and</w:t>
      </w:r>
      <w:r w:rsidR="00525F6A" w:rsidRPr="00F24975">
        <w:rPr>
          <w:rFonts w:cstheme="minorHAnsi"/>
        </w:rPr>
        <w:t xml:space="preserve"> gold on stock market index, euro-dollar exchange rate, Treasury bills, interest rate swaps, US Treasury Bonds or Treasury Bonds </w:t>
      </w:r>
      <w:r w:rsidR="00DB12A8">
        <w:rPr>
          <w:rFonts w:cstheme="minorHAnsi"/>
        </w:rPr>
        <w:t xml:space="preserve">with maturities of 2, 5, 10 &amp; </w:t>
      </w:r>
      <w:r w:rsidR="00525F6A" w:rsidRPr="00F24975">
        <w:rPr>
          <w:rFonts w:cstheme="minorHAnsi"/>
        </w:rPr>
        <w:t xml:space="preserve">30 years. </w:t>
      </w:r>
    </w:p>
    <w:p w:rsidR="00D03F45" w:rsidRPr="00D03F45" w:rsidRDefault="00525F6A" w:rsidP="00D03F45">
      <w:pPr>
        <w:pStyle w:val="ListParagraph"/>
        <w:numPr>
          <w:ilvl w:val="0"/>
          <w:numId w:val="2"/>
        </w:numPr>
        <w:spacing w:line="480" w:lineRule="auto"/>
        <w:rPr>
          <w:rFonts w:cstheme="minorHAnsi"/>
        </w:rPr>
      </w:pPr>
      <w:r w:rsidRPr="00F24975">
        <w:rPr>
          <w:rFonts w:cstheme="minorHAnsi"/>
        </w:rPr>
        <w:t>Procedures</w:t>
      </w:r>
      <w:r w:rsidR="00D03F45" w:rsidRPr="00D03F45">
        <w:t xml:space="preserve"> </w:t>
      </w:r>
    </w:p>
    <w:p w:rsidR="008C7158" w:rsidRPr="00F1695E" w:rsidRDefault="00736C2B" w:rsidP="00F1695E">
      <w:pPr>
        <w:spacing w:line="480" w:lineRule="auto"/>
        <w:rPr>
          <w:rFonts w:cstheme="minorHAnsi"/>
        </w:rPr>
      </w:pPr>
      <w:r w:rsidRPr="00F1695E">
        <w:rPr>
          <w:rFonts w:cstheme="minorHAnsi"/>
        </w:rPr>
        <w:t xml:space="preserve">The </w:t>
      </w:r>
      <w:r w:rsidR="0055148C" w:rsidRPr="00F1695E">
        <w:rPr>
          <w:rFonts w:cstheme="minorHAnsi"/>
        </w:rPr>
        <w:t xml:space="preserve">exchanges in the CBOT </w:t>
      </w:r>
      <w:r w:rsidR="00546D34" w:rsidRPr="00F1695E">
        <w:rPr>
          <w:rFonts w:cstheme="minorHAnsi"/>
        </w:rPr>
        <w:t>take</w:t>
      </w:r>
      <w:r w:rsidRPr="00F1695E">
        <w:rPr>
          <w:rFonts w:cstheme="minorHAnsi"/>
        </w:rPr>
        <w:t xml:space="preserve"> place via open outcry in one of its many octagonal pits. Pit traders announce how many contracts they want to buy or sell and the price they want to pay or receive. They use their fingers to indicate the amount of contracts. The trader </w:t>
      </w:r>
      <w:r w:rsidRPr="00F1695E">
        <w:rPr>
          <w:rFonts w:cstheme="minorHAnsi"/>
        </w:rPr>
        <w:t>tries to sell contracts</w:t>
      </w:r>
      <w:r w:rsidRPr="00F1695E">
        <w:rPr>
          <w:rFonts w:cstheme="minorHAnsi"/>
        </w:rPr>
        <w:t xml:space="preserve"> when his palm is facing and when the merchant's palm is facing, he is buying</w:t>
      </w:r>
      <w:r w:rsidR="001F68B0" w:rsidRPr="00F1695E">
        <w:rPr>
          <w:rFonts w:cstheme="minorHAnsi"/>
        </w:rPr>
        <w:t xml:space="preserve">. </w:t>
      </w:r>
      <w:r w:rsidRPr="00F1695E">
        <w:rPr>
          <w:rFonts w:cstheme="minorHAnsi"/>
        </w:rPr>
        <w:t>Recently</w:t>
      </w:r>
      <w:r w:rsidRPr="00F1695E">
        <w:rPr>
          <w:rFonts w:cstheme="minorHAnsi"/>
        </w:rPr>
        <w:t xml:space="preserve">, </w:t>
      </w:r>
      <w:r w:rsidRPr="00F1695E">
        <w:rPr>
          <w:rFonts w:cstheme="minorHAnsi"/>
        </w:rPr>
        <w:t xml:space="preserve">the CBOT </w:t>
      </w:r>
      <w:r w:rsidRPr="00F1695E">
        <w:rPr>
          <w:rFonts w:cstheme="minorHAnsi"/>
        </w:rPr>
        <w:t>intr</w:t>
      </w:r>
      <w:r w:rsidRPr="00F1695E">
        <w:rPr>
          <w:rFonts w:cstheme="minorHAnsi"/>
        </w:rPr>
        <w:t xml:space="preserve">oduced electronic commerce and </w:t>
      </w:r>
      <w:r w:rsidRPr="00F1695E">
        <w:rPr>
          <w:rFonts w:cstheme="minorHAnsi"/>
        </w:rPr>
        <w:t xml:space="preserve">investors can </w:t>
      </w:r>
      <w:r w:rsidRPr="00F1695E">
        <w:rPr>
          <w:rFonts w:cstheme="minorHAnsi"/>
        </w:rPr>
        <w:t xml:space="preserve">now </w:t>
      </w:r>
      <w:r w:rsidRPr="00F1695E">
        <w:rPr>
          <w:rFonts w:cstheme="minorHAnsi"/>
        </w:rPr>
        <w:t>trade using either the open o</w:t>
      </w:r>
      <w:r w:rsidRPr="00F1695E">
        <w:rPr>
          <w:rFonts w:cstheme="minorHAnsi"/>
        </w:rPr>
        <w:t>utcry</w:t>
      </w:r>
      <w:r w:rsidR="0055148C" w:rsidRPr="00F1695E">
        <w:rPr>
          <w:rFonts w:cstheme="minorHAnsi"/>
        </w:rPr>
        <w:t xml:space="preserve"> (</w:t>
      </w:r>
      <w:r w:rsidR="0055148C" w:rsidRPr="00F1695E">
        <w:rPr>
          <w:rFonts w:cstheme="minorHAnsi"/>
        </w:rPr>
        <w:t>from 7:20 a.m. to 3:15 p.m. Monday through Friday</w:t>
      </w:r>
      <w:r w:rsidR="0055148C" w:rsidRPr="00F1695E">
        <w:rPr>
          <w:rFonts w:cstheme="minorHAnsi"/>
        </w:rPr>
        <w:t>)</w:t>
      </w:r>
      <w:r w:rsidRPr="00F1695E">
        <w:rPr>
          <w:rFonts w:cstheme="minorHAnsi"/>
        </w:rPr>
        <w:t xml:space="preserve"> or the electronic method</w:t>
      </w:r>
      <w:r w:rsidR="0055148C" w:rsidRPr="00F1695E">
        <w:rPr>
          <w:rFonts w:cstheme="minorHAnsi"/>
        </w:rPr>
        <w:t xml:space="preserve"> (</w:t>
      </w:r>
      <w:r w:rsidR="0055148C" w:rsidRPr="00F1695E">
        <w:rPr>
          <w:rFonts w:cstheme="minorHAnsi"/>
        </w:rPr>
        <w:t xml:space="preserve">Monday through Friday, </w:t>
      </w:r>
      <w:r w:rsidR="0055148C" w:rsidRPr="00F1695E">
        <w:rPr>
          <w:rFonts w:cstheme="minorHAnsi"/>
        </w:rPr>
        <w:t>t</w:t>
      </w:r>
      <w:r w:rsidR="0055148C" w:rsidRPr="00F1695E">
        <w:rPr>
          <w:rFonts w:cstheme="minorHAnsi"/>
        </w:rPr>
        <w:t>rading day lasts 22 hours</w:t>
      </w:r>
      <w:r w:rsidR="0055148C" w:rsidRPr="00F1695E">
        <w:rPr>
          <w:rFonts w:cstheme="minorHAnsi"/>
        </w:rPr>
        <w:t>)</w:t>
      </w:r>
      <w:r w:rsidRPr="00F1695E">
        <w:rPr>
          <w:rFonts w:cstheme="minorHAnsi"/>
        </w:rPr>
        <w:t>. We must have</w:t>
      </w:r>
      <w:r w:rsidRPr="00F1695E">
        <w:rPr>
          <w:rFonts w:cstheme="minorHAnsi"/>
        </w:rPr>
        <w:t xml:space="preserve"> a member</w:t>
      </w:r>
      <w:r w:rsidRPr="00F1695E">
        <w:rPr>
          <w:rFonts w:cstheme="minorHAnsi"/>
        </w:rPr>
        <w:t xml:space="preserve">ship to trade the </w:t>
      </w:r>
      <w:r w:rsidRPr="00F1695E">
        <w:rPr>
          <w:rFonts w:cstheme="minorHAnsi"/>
        </w:rPr>
        <w:t xml:space="preserve">products. </w:t>
      </w:r>
    </w:p>
    <w:p w:rsidR="005D0136" w:rsidRPr="008C7158" w:rsidRDefault="00AF32D2" w:rsidP="008C7158">
      <w:pPr>
        <w:pStyle w:val="ListParagraph"/>
        <w:numPr>
          <w:ilvl w:val="0"/>
          <w:numId w:val="1"/>
        </w:numPr>
        <w:spacing w:line="480" w:lineRule="auto"/>
        <w:rPr>
          <w:rFonts w:cstheme="minorHAnsi"/>
        </w:rPr>
      </w:pPr>
      <w:r w:rsidRPr="00F24975">
        <w:rPr>
          <w:rFonts w:cstheme="minorHAnsi"/>
        </w:rPr>
        <w:t>Trading Rules</w:t>
      </w:r>
    </w:p>
    <w:tbl>
      <w:tblPr>
        <w:tblStyle w:val="TableGrid"/>
        <w:tblW w:w="0" w:type="auto"/>
        <w:tblInd w:w="85" w:type="dxa"/>
        <w:tblLayout w:type="fixed"/>
        <w:tblLook w:val="04A0" w:firstRow="1" w:lastRow="0" w:firstColumn="1" w:lastColumn="0" w:noHBand="0" w:noVBand="1"/>
      </w:tblPr>
      <w:tblGrid>
        <w:gridCol w:w="1440"/>
        <w:gridCol w:w="990"/>
        <w:gridCol w:w="1620"/>
        <w:gridCol w:w="1890"/>
        <w:gridCol w:w="3037"/>
      </w:tblGrid>
      <w:tr w:rsidR="00DB12A8" w:rsidTr="008F2F80">
        <w:tc>
          <w:tcPr>
            <w:tcW w:w="1440" w:type="dxa"/>
          </w:tcPr>
          <w:p w:rsidR="00470959" w:rsidRPr="0093744E" w:rsidRDefault="00DA4C4C" w:rsidP="008C7158">
            <w:pPr>
              <w:pStyle w:val="ListParagraph"/>
              <w:ind w:left="0"/>
              <w:rPr>
                <w:rFonts w:cstheme="minorHAnsi"/>
                <w:b/>
              </w:rPr>
            </w:pPr>
            <w:r w:rsidRPr="0093744E">
              <w:rPr>
                <w:rFonts w:cstheme="minorHAnsi"/>
                <w:b/>
              </w:rPr>
              <w:t>Commodities</w:t>
            </w:r>
          </w:p>
        </w:tc>
        <w:tc>
          <w:tcPr>
            <w:tcW w:w="990" w:type="dxa"/>
          </w:tcPr>
          <w:p w:rsidR="00470959" w:rsidRPr="0093744E" w:rsidRDefault="00470959" w:rsidP="008C7158">
            <w:pPr>
              <w:pStyle w:val="ListParagraph"/>
              <w:ind w:left="0"/>
              <w:rPr>
                <w:rFonts w:cstheme="minorHAnsi"/>
                <w:b/>
              </w:rPr>
            </w:pPr>
            <w:r w:rsidRPr="0093744E">
              <w:rPr>
                <w:rFonts w:cstheme="minorHAnsi"/>
                <w:b/>
              </w:rPr>
              <w:t>Size of contract</w:t>
            </w:r>
          </w:p>
        </w:tc>
        <w:tc>
          <w:tcPr>
            <w:tcW w:w="1620" w:type="dxa"/>
          </w:tcPr>
          <w:p w:rsidR="00470959" w:rsidRPr="0093744E" w:rsidRDefault="00470959" w:rsidP="008C7158">
            <w:pPr>
              <w:pStyle w:val="ListParagraph"/>
              <w:ind w:left="0"/>
              <w:rPr>
                <w:rFonts w:cstheme="minorHAnsi"/>
                <w:b/>
              </w:rPr>
            </w:pPr>
            <w:r w:rsidRPr="0093744E">
              <w:rPr>
                <w:rFonts w:cstheme="minorHAnsi"/>
                <w:b/>
              </w:rPr>
              <w:t>Expiry dates</w:t>
            </w:r>
          </w:p>
        </w:tc>
        <w:tc>
          <w:tcPr>
            <w:tcW w:w="1890" w:type="dxa"/>
          </w:tcPr>
          <w:p w:rsidR="00470959" w:rsidRPr="0093744E" w:rsidRDefault="00470959" w:rsidP="008C7158">
            <w:pPr>
              <w:pStyle w:val="ListParagraph"/>
              <w:ind w:left="0"/>
              <w:rPr>
                <w:rFonts w:cstheme="minorHAnsi"/>
                <w:b/>
              </w:rPr>
            </w:pPr>
            <w:r w:rsidRPr="0093744E">
              <w:rPr>
                <w:rFonts w:cstheme="minorHAnsi"/>
                <w:b/>
              </w:rPr>
              <w:t>Warehousing arrangements</w:t>
            </w:r>
          </w:p>
        </w:tc>
        <w:tc>
          <w:tcPr>
            <w:tcW w:w="3037" w:type="dxa"/>
          </w:tcPr>
          <w:p w:rsidR="00470959" w:rsidRPr="0093744E" w:rsidRDefault="00470959" w:rsidP="008C7158">
            <w:pPr>
              <w:pStyle w:val="ListParagraph"/>
              <w:ind w:left="0"/>
              <w:rPr>
                <w:rFonts w:cstheme="minorHAnsi"/>
                <w:b/>
              </w:rPr>
            </w:pPr>
            <w:r w:rsidRPr="0093744E">
              <w:rPr>
                <w:rFonts w:cstheme="minorHAnsi"/>
                <w:b/>
              </w:rPr>
              <w:t>Contract grades of security</w:t>
            </w:r>
          </w:p>
        </w:tc>
      </w:tr>
      <w:tr w:rsidR="00DB12A8" w:rsidTr="008F2F80">
        <w:tc>
          <w:tcPr>
            <w:tcW w:w="1440" w:type="dxa"/>
          </w:tcPr>
          <w:p w:rsidR="00470959" w:rsidRPr="00DA4C4C" w:rsidRDefault="00DA4C4C" w:rsidP="008C7158">
            <w:pPr>
              <w:rPr>
                <w:rFonts w:cstheme="minorHAnsi"/>
              </w:rPr>
            </w:pPr>
            <w:r>
              <w:rPr>
                <w:rFonts w:cstheme="minorHAnsi"/>
              </w:rPr>
              <w:t>1-</w:t>
            </w:r>
            <w:r w:rsidRPr="00DA4C4C">
              <w:rPr>
                <w:rFonts w:cstheme="minorHAnsi"/>
              </w:rPr>
              <w:t>Wheat Futures</w:t>
            </w:r>
          </w:p>
        </w:tc>
        <w:tc>
          <w:tcPr>
            <w:tcW w:w="990" w:type="dxa"/>
          </w:tcPr>
          <w:p w:rsidR="00470959" w:rsidRDefault="00DA4C4C" w:rsidP="008C7158">
            <w:pPr>
              <w:pStyle w:val="ListParagraph"/>
              <w:ind w:left="0"/>
              <w:rPr>
                <w:rFonts w:cstheme="minorHAnsi"/>
              </w:rPr>
            </w:pPr>
            <w:r>
              <w:rPr>
                <w:rFonts w:cstheme="minorHAnsi"/>
              </w:rPr>
              <w:t>5,000 bushels</w:t>
            </w:r>
          </w:p>
        </w:tc>
        <w:tc>
          <w:tcPr>
            <w:tcW w:w="1620" w:type="dxa"/>
          </w:tcPr>
          <w:p w:rsidR="00470959" w:rsidRPr="00546D34" w:rsidRDefault="0055148C" w:rsidP="00546D34">
            <w:pPr>
              <w:pStyle w:val="ListParagraph"/>
              <w:ind w:left="0"/>
              <w:rPr>
                <w:rFonts w:cstheme="minorHAnsi"/>
              </w:rPr>
            </w:pPr>
            <w:r w:rsidRPr="0055148C">
              <w:rPr>
                <w:rFonts w:cstheme="minorHAnsi"/>
              </w:rPr>
              <w:t xml:space="preserve">Trading ends on </w:t>
            </w:r>
            <w:r w:rsidR="00546D34">
              <w:rPr>
                <w:rFonts w:cstheme="minorHAnsi"/>
              </w:rPr>
              <w:t xml:space="preserve">the last business day </w:t>
            </w:r>
            <w:r w:rsidRPr="0055148C">
              <w:rPr>
                <w:rFonts w:cstheme="minorHAnsi"/>
              </w:rPr>
              <w:t>Friday</w:t>
            </w:r>
            <w:r w:rsidR="00546D34">
              <w:rPr>
                <w:rFonts w:cstheme="minorHAnsi"/>
              </w:rPr>
              <w:t xml:space="preserve"> of the month</w:t>
            </w:r>
            <w:r w:rsidRPr="0055148C">
              <w:rPr>
                <w:rFonts w:cstheme="minorHAnsi"/>
              </w:rPr>
              <w:t xml:space="preserve"> </w:t>
            </w:r>
            <w:r w:rsidR="00546D34" w:rsidRPr="0055148C">
              <w:rPr>
                <w:rFonts w:cstheme="minorHAnsi"/>
              </w:rPr>
              <w:t xml:space="preserve">prior to the contract </w:t>
            </w:r>
            <w:r w:rsidR="00546D34" w:rsidRPr="0055148C">
              <w:rPr>
                <w:rFonts w:cstheme="minorHAnsi"/>
              </w:rPr>
              <w:lastRenderedPageBreak/>
              <w:t xml:space="preserve">month </w:t>
            </w:r>
            <w:r w:rsidRPr="0055148C">
              <w:rPr>
                <w:rFonts w:cstheme="minorHAnsi"/>
              </w:rPr>
              <w:t xml:space="preserve">preceded by at least 2 business days, and close begins at 12:00 PM and trading is allowed for </w:t>
            </w:r>
            <w:r w:rsidR="00404084">
              <w:rPr>
                <w:rFonts w:cstheme="minorHAnsi"/>
              </w:rPr>
              <w:t>1</w:t>
            </w:r>
            <w:r w:rsidR="008F2F80">
              <w:rPr>
                <w:rFonts w:cstheme="minorHAnsi"/>
              </w:rPr>
              <w:t xml:space="preserve">mn </w:t>
            </w:r>
            <w:r w:rsidRPr="0055148C">
              <w:rPr>
                <w:rFonts w:cstheme="minorHAnsi"/>
              </w:rPr>
              <w:t>maximum.</w:t>
            </w:r>
          </w:p>
        </w:tc>
        <w:tc>
          <w:tcPr>
            <w:tcW w:w="1890" w:type="dxa"/>
          </w:tcPr>
          <w:p w:rsidR="00470959" w:rsidRDefault="00DA4C4C" w:rsidP="008C7158">
            <w:pPr>
              <w:pStyle w:val="ListParagraph"/>
              <w:ind w:left="0"/>
              <w:rPr>
                <w:rFonts w:cstheme="minorHAnsi"/>
              </w:rPr>
            </w:pPr>
            <w:r w:rsidRPr="00DA4C4C">
              <w:rPr>
                <w:rFonts w:cstheme="minorHAnsi"/>
              </w:rPr>
              <w:lastRenderedPageBreak/>
              <w:t xml:space="preserve">The Chicago Switching District, the Burns Harbor, Indiana Switching District, the Northwest Ohio </w:t>
            </w:r>
            <w:r w:rsidRPr="00DA4C4C">
              <w:rPr>
                <w:rFonts w:cstheme="minorHAnsi"/>
              </w:rPr>
              <w:lastRenderedPageBreak/>
              <w:t>Territory, the St. Louis – Alton Territory, on the Ohio River, on the Mississippi River or the Toledo, Ohio Switching District.</w:t>
            </w:r>
          </w:p>
        </w:tc>
        <w:tc>
          <w:tcPr>
            <w:tcW w:w="3037" w:type="dxa"/>
          </w:tcPr>
          <w:p w:rsidR="00470959" w:rsidRDefault="00DA4C4C" w:rsidP="008C7158">
            <w:pPr>
              <w:pStyle w:val="ListParagraph"/>
              <w:ind w:left="0"/>
              <w:rPr>
                <w:rFonts w:cstheme="minorHAnsi"/>
              </w:rPr>
            </w:pPr>
            <w:r w:rsidRPr="00DA4C4C">
              <w:rPr>
                <w:rFonts w:cstheme="minorHAnsi"/>
              </w:rPr>
              <w:lastRenderedPageBreak/>
              <w:t xml:space="preserve">At 3¢ Premium: No. 1 Soft Red Winter, No. 1 Hard Red Winter, No. 1 Hard Red Winter,  No. 1 Dark Northern Spring; At Contract Price: No. 2 Soft Red Winter, No. 2 Hard Red Winter, </w:t>
            </w:r>
            <w:r w:rsidRPr="00DA4C4C">
              <w:rPr>
                <w:rFonts w:cstheme="minorHAnsi"/>
              </w:rPr>
              <w:lastRenderedPageBreak/>
              <w:t>No. 2 Dark Northern Spring, No. 2 Northern Spring</w:t>
            </w:r>
          </w:p>
        </w:tc>
      </w:tr>
      <w:tr w:rsidR="00DB12A8" w:rsidTr="008F2F80">
        <w:tc>
          <w:tcPr>
            <w:tcW w:w="1440" w:type="dxa"/>
          </w:tcPr>
          <w:p w:rsidR="00470959" w:rsidRDefault="00470959" w:rsidP="008C7158">
            <w:pPr>
              <w:pStyle w:val="ListParagraph"/>
              <w:ind w:left="0"/>
              <w:rPr>
                <w:rFonts w:cstheme="minorHAnsi"/>
              </w:rPr>
            </w:pPr>
            <w:r>
              <w:rPr>
                <w:rFonts w:cstheme="minorHAnsi"/>
              </w:rPr>
              <w:lastRenderedPageBreak/>
              <w:t>2-</w:t>
            </w:r>
            <w:r w:rsidR="00DA4C4C">
              <w:t xml:space="preserve"> </w:t>
            </w:r>
            <w:r w:rsidR="00DA4C4C" w:rsidRPr="00DA4C4C">
              <w:rPr>
                <w:rFonts w:cstheme="minorHAnsi"/>
              </w:rPr>
              <w:t>Mini-Sized Soybean Futures</w:t>
            </w:r>
          </w:p>
        </w:tc>
        <w:tc>
          <w:tcPr>
            <w:tcW w:w="990" w:type="dxa"/>
          </w:tcPr>
          <w:p w:rsidR="00470959" w:rsidRDefault="00DA4C4C" w:rsidP="008C7158">
            <w:pPr>
              <w:pStyle w:val="ListParagraph"/>
              <w:ind w:left="0"/>
              <w:rPr>
                <w:rFonts w:cstheme="minorHAnsi"/>
              </w:rPr>
            </w:pPr>
            <w:r>
              <w:rPr>
                <w:rFonts w:cstheme="minorHAnsi"/>
              </w:rPr>
              <w:t>1,000 bushels</w:t>
            </w:r>
          </w:p>
        </w:tc>
        <w:tc>
          <w:tcPr>
            <w:tcW w:w="1620" w:type="dxa"/>
          </w:tcPr>
          <w:p w:rsidR="00470959" w:rsidRDefault="00546D34" w:rsidP="00546D34">
            <w:pPr>
              <w:rPr>
                <w:rFonts w:cstheme="minorHAnsi"/>
              </w:rPr>
            </w:pPr>
            <w:r w:rsidRPr="0055148C">
              <w:rPr>
                <w:rFonts w:cstheme="minorHAnsi"/>
              </w:rPr>
              <w:t xml:space="preserve">Trading ends </w:t>
            </w:r>
            <w:bookmarkStart w:id="0" w:name="_GoBack"/>
            <w:bookmarkEnd w:id="0"/>
            <w:r w:rsidRPr="0055148C">
              <w:rPr>
                <w:rFonts w:cstheme="minorHAnsi"/>
              </w:rPr>
              <w:t xml:space="preserve">on </w:t>
            </w:r>
            <w:r>
              <w:rPr>
                <w:rFonts w:cstheme="minorHAnsi"/>
              </w:rPr>
              <w:t xml:space="preserve">the last business day </w:t>
            </w:r>
            <w:r w:rsidRPr="0055148C">
              <w:rPr>
                <w:rFonts w:cstheme="minorHAnsi"/>
              </w:rPr>
              <w:t>Friday</w:t>
            </w:r>
            <w:r>
              <w:rPr>
                <w:rFonts w:cstheme="minorHAnsi"/>
              </w:rPr>
              <w:t xml:space="preserve"> of the month</w:t>
            </w:r>
            <w:r w:rsidRPr="0055148C">
              <w:rPr>
                <w:rFonts w:cstheme="minorHAnsi"/>
              </w:rPr>
              <w:t xml:space="preserve"> prior to the contract month preceded by at least 2 business days, and close begins at 12:00 PM and t</w:t>
            </w:r>
            <w:r w:rsidR="008F2F80">
              <w:rPr>
                <w:rFonts w:cstheme="minorHAnsi"/>
              </w:rPr>
              <w:t>rading is allowed for 1mn</w:t>
            </w:r>
            <w:r w:rsidRPr="0055148C">
              <w:rPr>
                <w:rFonts w:cstheme="minorHAnsi"/>
              </w:rPr>
              <w:t xml:space="preserve"> maximum.</w:t>
            </w:r>
          </w:p>
        </w:tc>
        <w:tc>
          <w:tcPr>
            <w:tcW w:w="1890" w:type="dxa"/>
          </w:tcPr>
          <w:p w:rsidR="00773E82" w:rsidRPr="00773E82" w:rsidRDefault="00773E82" w:rsidP="00773E82">
            <w:pPr>
              <w:rPr>
                <w:rFonts w:cstheme="minorHAnsi"/>
              </w:rPr>
            </w:pPr>
            <w:r w:rsidRPr="00773E82">
              <w:rPr>
                <w:rFonts w:cstheme="minorHAnsi"/>
              </w:rPr>
              <w:t xml:space="preserve">At contract price: </w:t>
            </w:r>
            <w:r w:rsidRPr="00773E82">
              <w:rPr>
                <w:rFonts w:cstheme="minorHAnsi"/>
              </w:rPr>
              <w:t>Chicago Switching</w:t>
            </w:r>
          </w:p>
          <w:p w:rsidR="00773E82" w:rsidRDefault="00773E82" w:rsidP="00773E82">
            <w:pPr>
              <w:pStyle w:val="ListParagraph"/>
              <w:ind w:left="0"/>
              <w:rPr>
                <w:rFonts w:cstheme="minorHAnsi"/>
              </w:rPr>
            </w:pPr>
            <w:r w:rsidRPr="00773E82">
              <w:rPr>
                <w:rFonts w:cstheme="minorHAnsi"/>
              </w:rPr>
              <w:t>District or the Burns Harbor, Indiana Switching District</w:t>
            </w:r>
            <w:r w:rsidR="00A5608B">
              <w:rPr>
                <w:rFonts w:cstheme="minorHAnsi"/>
              </w:rPr>
              <w:t>; At 4.75</w:t>
            </w:r>
            <w:r w:rsidR="00A5608B" w:rsidRPr="00DA4C4C">
              <w:rPr>
                <w:rFonts w:cstheme="minorHAnsi"/>
              </w:rPr>
              <w:t>¢</w:t>
            </w:r>
            <w:r w:rsidR="00A5608B">
              <w:rPr>
                <w:rFonts w:cstheme="minorHAnsi"/>
              </w:rPr>
              <w:t xml:space="preserve"> /</w:t>
            </w:r>
            <w:r w:rsidR="00A5608B" w:rsidRPr="00A5608B">
              <w:rPr>
                <w:rFonts w:cstheme="minorHAnsi"/>
              </w:rPr>
              <w:t>bushel</w:t>
            </w:r>
            <w:r w:rsidR="00A5608B">
              <w:rPr>
                <w:rFonts w:cstheme="minorHAnsi"/>
              </w:rPr>
              <w:t xml:space="preserve">: </w:t>
            </w:r>
            <w:r w:rsidR="00A5608B" w:rsidRPr="00A5608B">
              <w:rPr>
                <w:rFonts w:cstheme="minorHAnsi"/>
              </w:rPr>
              <w:t>Lockport-Seneca Shipping District</w:t>
            </w:r>
            <w:r w:rsidR="00A5608B">
              <w:rPr>
                <w:rFonts w:cstheme="minorHAnsi"/>
              </w:rPr>
              <w:t xml:space="preserve">; At </w:t>
            </w:r>
            <w:r w:rsidR="00A5608B">
              <w:t>6.25</w:t>
            </w:r>
            <w:r w:rsidR="00A5608B" w:rsidRPr="00DA4C4C">
              <w:rPr>
                <w:rFonts w:cstheme="minorHAnsi"/>
              </w:rPr>
              <w:t>¢</w:t>
            </w:r>
            <w:r w:rsidR="00A5608B">
              <w:rPr>
                <w:rFonts w:cstheme="minorHAnsi"/>
              </w:rPr>
              <w:t xml:space="preserve"> /</w:t>
            </w:r>
            <w:r w:rsidR="00A5608B" w:rsidRPr="00A5608B">
              <w:rPr>
                <w:rFonts w:cstheme="minorHAnsi"/>
              </w:rPr>
              <w:t>bushel</w:t>
            </w:r>
            <w:r w:rsidR="00A5608B">
              <w:rPr>
                <w:rFonts w:cstheme="minorHAnsi"/>
              </w:rPr>
              <w:t>:</w:t>
            </w:r>
            <w:r w:rsidR="00A5608B">
              <w:rPr>
                <w:rFonts w:cstheme="minorHAnsi"/>
              </w:rPr>
              <w:t xml:space="preserve"> </w:t>
            </w:r>
            <w:r w:rsidR="00A5608B" w:rsidRPr="00A5608B">
              <w:rPr>
                <w:rFonts w:cstheme="minorHAnsi"/>
              </w:rPr>
              <w:t>Ottawa-Chillicothe Shipping District</w:t>
            </w:r>
            <w:r w:rsidR="00A5608B">
              <w:rPr>
                <w:rFonts w:cstheme="minorHAnsi"/>
              </w:rPr>
              <w:t xml:space="preserve">; At </w:t>
            </w:r>
            <w:r w:rsidR="00A5608B">
              <w:t>8.75</w:t>
            </w:r>
            <w:r w:rsidR="00A5608B" w:rsidRPr="00DA4C4C">
              <w:rPr>
                <w:rFonts w:cstheme="minorHAnsi"/>
              </w:rPr>
              <w:t>¢</w:t>
            </w:r>
            <w:r w:rsidR="00A5608B">
              <w:rPr>
                <w:rFonts w:cstheme="minorHAnsi"/>
              </w:rPr>
              <w:t xml:space="preserve"> /</w:t>
            </w:r>
            <w:r w:rsidR="00A5608B" w:rsidRPr="00A5608B">
              <w:rPr>
                <w:rFonts w:cstheme="minorHAnsi"/>
              </w:rPr>
              <w:t>bushel</w:t>
            </w:r>
            <w:r w:rsidR="00A5608B">
              <w:rPr>
                <w:rFonts w:cstheme="minorHAnsi"/>
              </w:rPr>
              <w:t xml:space="preserve">: </w:t>
            </w:r>
            <w:r w:rsidR="00A5608B">
              <w:t>Peoria-Pekin Shipping Distric</w:t>
            </w:r>
            <w:r w:rsidR="00A5608B">
              <w:rPr>
                <w:rFonts w:cstheme="minorHAnsi"/>
              </w:rPr>
              <w:t>t</w:t>
            </w:r>
          </w:p>
        </w:tc>
        <w:tc>
          <w:tcPr>
            <w:tcW w:w="3037" w:type="dxa"/>
          </w:tcPr>
          <w:p w:rsidR="00470959" w:rsidRDefault="00DA4C4C" w:rsidP="008C7158">
            <w:pPr>
              <w:pStyle w:val="ListParagraph"/>
              <w:ind w:left="0"/>
              <w:rPr>
                <w:rFonts w:cstheme="minorHAnsi"/>
              </w:rPr>
            </w:pPr>
            <w:r w:rsidRPr="00F24975">
              <w:rPr>
                <w:rFonts w:cstheme="minorHAnsi"/>
              </w:rPr>
              <w:t>No. 2 yellow soybeans at par, No. 1 yellow soybeans at 6 cents per bushel over contract price, or No. 3 yellow soybeans at 6 cents per bushel under contract price provided that all factors equal U.S. No. 2</w:t>
            </w:r>
          </w:p>
        </w:tc>
      </w:tr>
      <w:tr w:rsidR="00DB12A8" w:rsidTr="008F2F80">
        <w:tc>
          <w:tcPr>
            <w:tcW w:w="1440" w:type="dxa"/>
          </w:tcPr>
          <w:p w:rsidR="00470959" w:rsidRDefault="00470959" w:rsidP="008C7158">
            <w:pPr>
              <w:pStyle w:val="ListParagraph"/>
              <w:ind w:left="0"/>
              <w:rPr>
                <w:rFonts w:cstheme="minorHAnsi"/>
              </w:rPr>
            </w:pPr>
            <w:r>
              <w:rPr>
                <w:rFonts w:cstheme="minorHAnsi"/>
              </w:rPr>
              <w:t>3-</w:t>
            </w:r>
            <w:r w:rsidR="00DA4C4C">
              <w:rPr>
                <w:rFonts w:cstheme="minorHAnsi"/>
              </w:rPr>
              <w:t xml:space="preserve"> Soybean Meal Futures</w:t>
            </w:r>
          </w:p>
        </w:tc>
        <w:tc>
          <w:tcPr>
            <w:tcW w:w="990" w:type="dxa"/>
          </w:tcPr>
          <w:p w:rsidR="00470959" w:rsidRDefault="00DA4C4C" w:rsidP="008C7158">
            <w:pPr>
              <w:pStyle w:val="ListParagraph"/>
              <w:ind w:left="0"/>
              <w:rPr>
                <w:rFonts w:cstheme="minorHAnsi"/>
              </w:rPr>
            </w:pPr>
            <w:r w:rsidRPr="00F24975">
              <w:rPr>
                <w:rFonts w:cstheme="minorHAnsi"/>
              </w:rPr>
              <w:t>100 tons (2,000 pounds per ton)</w:t>
            </w:r>
          </w:p>
        </w:tc>
        <w:tc>
          <w:tcPr>
            <w:tcW w:w="1620" w:type="dxa"/>
          </w:tcPr>
          <w:p w:rsidR="00470959" w:rsidRDefault="0055148C" w:rsidP="008C7158">
            <w:pPr>
              <w:pStyle w:val="ListParagraph"/>
              <w:ind w:left="0"/>
              <w:rPr>
                <w:rFonts w:cstheme="minorHAnsi"/>
              </w:rPr>
            </w:pPr>
            <w:r w:rsidRPr="00F24975">
              <w:rPr>
                <w:rFonts w:cstheme="minorHAnsi"/>
              </w:rPr>
              <w:t>The business day preceding the 15th calendar day of deliverable current month</w:t>
            </w:r>
          </w:p>
        </w:tc>
        <w:tc>
          <w:tcPr>
            <w:tcW w:w="1890" w:type="dxa"/>
          </w:tcPr>
          <w:p w:rsidR="00470959" w:rsidRDefault="00DA4C4C" w:rsidP="00546D34">
            <w:pPr>
              <w:rPr>
                <w:rFonts w:cstheme="minorHAnsi"/>
              </w:rPr>
            </w:pPr>
            <w:r w:rsidRPr="00DA4C4C">
              <w:rPr>
                <w:rFonts w:cstheme="minorHAnsi"/>
              </w:rPr>
              <w:t>the Central Territory (i.e.</w:t>
            </w:r>
            <w:r w:rsidRPr="00F24975">
              <w:t xml:space="preserve"> </w:t>
            </w:r>
            <w:r w:rsidRPr="00DA4C4C">
              <w:rPr>
                <w:rFonts w:cstheme="minorHAnsi"/>
              </w:rPr>
              <w:t>Bloomington, IL ), Northeast Territory, Mid-South Territory, Missouri Territory, Eastern Iowa Territory, or Northern Territory</w:t>
            </w:r>
          </w:p>
        </w:tc>
        <w:tc>
          <w:tcPr>
            <w:tcW w:w="3037" w:type="dxa"/>
          </w:tcPr>
          <w:p w:rsidR="00470959" w:rsidRDefault="00A5608B" w:rsidP="008C7158">
            <w:pPr>
              <w:pStyle w:val="ListParagraph"/>
              <w:ind w:left="0"/>
              <w:rPr>
                <w:rFonts w:cstheme="minorHAnsi"/>
              </w:rPr>
            </w:pPr>
            <w:r>
              <w:rPr>
                <w:rFonts w:cstheme="minorHAnsi"/>
              </w:rPr>
              <w:t xml:space="preserve">47.5% Protein Soybean Meal with following specifications: </w:t>
            </w:r>
            <w:r w:rsidRPr="00A5608B">
              <w:rPr>
                <w:rFonts w:cstheme="minorHAnsi"/>
              </w:rPr>
              <w:t>Protein minimum 47.5%</w:t>
            </w:r>
            <w:r>
              <w:rPr>
                <w:rFonts w:cstheme="minorHAnsi"/>
              </w:rPr>
              <w:t>,</w:t>
            </w:r>
            <w:r w:rsidRPr="00A5608B">
              <w:rPr>
                <w:rFonts w:cstheme="minorHAnsi"/>
              </w:rPr>
              <w:t xml:space="preserve"> Fat minimum 0.5%</w:t>
            </w:r>
            <w:r>
              <w:rPr>
                <w:rFonts w:cstheme="minorHAnsi"/>
              </w:rPr>
              <w:t>,</w:t>
            </w:r>
            <w:r w:rsidRPr="00A5608B">
              <w:rPr>
                <w:rFonts w:cstheme="minorHAnsi"/>
              </w:rPr>
              <w:t xml:space="preserve"> Fiber maximum 3.5%</w:t>
            </w:r>
            <w:r>
              <w:rPr>
                <w:rFonts w:cstheme="minorHAnsi"/>
              </w:rPr>
              <w:t>,</w:t>
            </w:r>
            <w:r w:rsidRPr="00A5608B">
              <w:rPr>
                <w:rFonts w:cstheme="minorHAnsi"/>
              </w:rPr>
              <w:t xml:space="preserve"> Moisture (when shipped by Processor) maximum 12.0%</w:t>
            </w:r>
          </w:p>
        </w:tc>
      </w:tr>
      <w:tr w:rsidR="00DB12A8" w:rsidTr="008F2F80">
        <w:tc>
          <w:tcPr>
            <w:tcW w:w="1440" w:type="dxa"/>
          </w:tcPr>
          <w:p w:rsidR="00470959" w:rsidRDefault="00470959" w:rsidP="008C7158">
            <w:pPr>
              <w:pStyle w:val="ListParagraph"/>
              <w:ind w:left="0"/>
              <w:rPr>
                <w:rFonts w:cstheme="minorHAnsi"/>
              </w:rPr>
            </w:pPr>
            <w:r>
              <w:rPr>
                <w:rFonts w:cstheme="minorHAnsi"/>
              </w:rPr>
              <w:t>4-</w:t>
            </w:r>
            <w:r w:rsidR="00DA4C4C">
              <w:t xml:space="preserve"> </w:t>
            </w:r>
            <w:r w:rsidR="00DA4C4C" w:rsidRPr="00DA4C4C">
              <w:rPr>
                <w:rFonts w:cstheme="minorHAnsi"/>
              </w:rPr>
              <w:t>Mini-sized Corn Future</w:t>
            </w:r>
          </w:p>
        </w:tc>
        <w:tc>
          <w:tcPr>
            <w:tcW w:w="990" w:type="dxa"/>
          </w:tcPr>
          <w:p w:rsidR="00470959" w:rsidRDefault="00D806AD" w:rsidP="008C7158">
            <w:pPr>
              <w:pStyle w:val="ListParagraph"/>
              <w:ind w:left="0"/>
              <w:rPr>
                <w:rFonts w:cstheme="minorHAnsi"/>
              </w:rPr>
            </w:pPr>
            <w:r>
              <w:rPr>
                <w:rFonts w:cstheme="minorHAnsi"/>
              </w:rPr>
              <w:t>1,000 bushels</w:t>
            </w:r>
          </w:p>
        </w:tc>
        <w:tc>
          <w:tcPr>
            <w:tcW w:w="1620" w:type="dxa"/>
          </w:tcPr>
          <w:p w:rsidR="00470959" w:rsidRDefault="00D806AD" w:rsidP="00546D34">
            <w:pPr>
              <w:rPr>
                <w:rFonts w:cstheme="minorHAnsi"/>
              </w:rPr>
            </w:pPr>
            <w:r w:rsidRPr="00F24975">
              <w:t xml:space="preserve">On the last day of trading in an expiring future, the close at 12 o'clock noon and trading shall be permitted thereafter </w:t>
            </w:r>
            <w:r w:rsidR="008F2F80">
              <w:t>1mn</w:t>
            </w:r>
            <w:r w:rsidRPr="00D806AD">
              <w:rPr>
                <w:rFonts w:cstheme="minorHAnsi"/>
              </w:rPr>
              <w:t xml:space="preserve"> </w:t>
            </w:r>
          </w:p>
        </w:tc>
        <w:tc>
          <w:tcPr>
            <w:tcW w:w="1890" w:type="dxa"/>
          </w:tcPr>
          <w:p w:rsidR="00D806AD" w:rsidRPr="00D806AD" w:rsidRDefault="00D806AD" w:rsidP="008C7158">
            <w:pPr>
              <w:rPr>
                <w:rFonts w:cstheme="minorHAnsi"/>
              </w:rPr>
            </w:pPr>
            <w:r w:rsidRPr="00D806AD">
              <w:rPr>
                <w:rFonts w:cstheme="minorHAnsi"/>
              </w:rPr>
              <w:t>Chicago Switching District or the Burns Harbor, Indiana Switching District</w:t>
            </w:r>
          </w:p>
          <w:p w:rsidR="00470959" w:rsidRDefault="00470959" w:rsidP="008C7158">
            <w:pPr>
              <w:pStyle w:val="ListParagraph"/>
              <w:ind w:left="0"/>
              <w:rPr>
                <w:rFonts w:cstheme="minorHAnsi"/>
              </w:rPr>
            </w:pPr>
          </w:p>
        </w:tc>
        <w:tc>
          <w:tcPr>
            <w:tcW w:w="3037" w:type="dxa"/>
          </w:tcPr>
          <w:p w:rsidR="00D806AD" w:rsidRPr="00D806AD" w:rsidRDefault="00D806AD" w:rsidP="008C7158">
            <w:pPr>
              <w:rPr>
                <w:rFonts w:cstheme="minorHAnsi"/>
              </w:rPr>
            </w:pPr>
            <w:r w:rsidRPr="00D806AD">
              <w:rPr>
                <w:rFonts w:cstheme="minorHAnsi"/>
              </w:rPr>
              <w:t>No. 2 yellow corn at par, No. 1 yellow corn at 1½ cents per bushel, No. 3 yellow corn at between 2 and 4 cents per bushel</w:t>
            </w:r>
          </w:p>
          <w:p w:rsidR="00470959" w:rsidRDefault="00470959" w:rsidP="008C7158">
            <w:pPr>
              <w:pStyle w:val="ListParagraph"/>
              <w:ind w:left="0"/>
              <w:rPr>
                <w:rFonts w:cstheme="minorHAnsi"/>
              </w:rPr>
            </w:pPr>
          </w:p>
        </w:tc>
      </w:tr>
      <w:tr w:rsidR="00DB12A8" w:rsidTr="008F2F80">
        <w:tc>
          <w:tcPr>
            <w:tcW w:w="1440" w:type="dxa"/>
          </w:tcPr>
          <w:p w:rsidR="00470959" w:rsidRDefault="00470959" w:rsidP="008C7158">
            <w:pPr>
              <w:pStyle w:val="ListParagraph"/>
              <w:ind w:left="0"/>
              <w:rPr>
                <w:rFonts w:cstheme="minorHAnsi"/>
              </w:rPr>
            </w:pPr>
            <w:r>
              <w:rPr>
                <w:rFonts w:cstheme="minorHAnsi"/>
              </w:rPr>
              <w:t>5-</w:t>
            </w:r>
            <w:r w:rsidR="00DA4C4C">
              <w:rPr>
                <w:rFonts w:cstheme="minorHAnsi"/>
              </w:rPr>
              <w:t xml:space="preserve"> Rough Rice Futures</w:t>
            </w:r>
          </w:p>
        </w:tc>
        <w:tc>
          <w:tcPr>
            <w:tcW w:w="990" w:type="dxa"/>
          </w:tcPr>
          <w:p w:rsidR="00470959" w:rsidRDefault="00D806AD" w:rsidP="008C7158">
            <w:pPr>
              <w:pStyle w:val="ListParagraph"/>
              <w:ind w:left="0"/>
              <w:rPr>
                <w:rFonts w:cstheme="minorHAnsi"/>
              </w:rPr>
            </w:pPr>
            <w:r w:rsidRPr="00F24975">
              <w:rPr>
                <w:rFonts w:cstheme="minorHAnsi"/>
              </w:rPr>
              <w:t>2,000 hundredweight (200,000 pounds)</w:t>
            </w:r>
          </w:p>
        </w:tc>
        <w:tc>
          <w:tcPr>
            <w:tcW w:w="1620" w:type="dxa"/>
          </w:tcPr>
          <w:p w:rsidR="00470959" w:rsidRDefault="0055148C" w:rsidP="008C7158">
            <w:pPr>
              <w:pStyle w:val="ListParagraph"/>
              <w:ind w:left="0"/>
              <w:rPr>
                <w:rFonts w:cstheme="minorHAnsi"/>
              </w:rPr>
            </w:pPr>
            <w:r w:rsidRPr="00F24975">
              <w:rPr>
                <w:rFonts w:cstheme="minorHAnsi"/>
              </w:rPr>
              <w:t>The business day preceding the 15th calendar day of deliverable current month</w:t>
            </w:r>
          </w:p>
        </w:tc>
        <w:tc>
          <w:tcPr>
            <w:tcW w:w="1890" w:type="dxa"/>
          </w:tcPr>
          <w:p w:rsidR="00470959" w:rsidRDefault="00546D34" w:rsidP="008C7158">
            <w:pPr>
              <w:rPr>
                <w:rFonts w:cstheme="minorHAnsi"/>
              </w:rPr>
            </w:pPr>
            <w:r>
              <w:rPr>
                <w:rFonts w:cstheme="minorHAnsi"/>
              </w:rPr>
              <w:t xml:space="preserve">Arkansas counties of Craighead, </w:t>
            </w:r>
            <w:r w:rsidR="00D806AD" w:rsidRPr="00D806AD">
              <w:rPr>
                <w:rFonts w:cstheme="minorHAnsi"/>
              </w:rPr>
              <w:t xml:space="preserve">Jackson, Poinsett, Woodruff, Cross, St. Francis, Lonoke, Prairie, Monroe, Jefferson, </w:t>
            </w:r>
            <w:r w:rsidR="00D806AD" w:rsidRPr="00D806AD">
              <w:rPr>
                <w:rFonts w:cstheme="minorHAnsi"/>
              </w:rPr>
              <w:lastRenderedPageBreak/>
              <w:t xml:space="preserve">Arkansas and </w:t>
            </w:r>
            <w:r w:rsidR="007F5543" w:rsidRPr="00D806AD">
              <w:rPr>
                <w:rFonts w:cstheme="minorHAnsi"/>
              </w:rPr>
              <w:t>Desha</w:t>
            </w:r>
            <w:r w:rsidR="00D806AD" w:rsidRPr="00D806AD">
              <w:rPr>
                <w:rFonts w:cstheme="minorHAnsi"/>
              </w:rPr>
              <w:t xml:space="preserve"> </w:t>
            </w:r>
          </w:p>
        </w:tc>
        <w:tc>
          <w:tcPr>
            <w:tcW w:w="3037" w:type="dxa"/>
          </w:tcPr>
          <w:p w:rsidR="00470959" w:rsidRDefault="00D806AD" w:rsidP="00546D34">
            <w:pPr>
              <w:pStyle w:val="ListParagraph"/>
              <w:ind w:left="0"/>
              <w:rPr>
                <w:rFonts w:cstheme="minorHAnsi"/>
              </w:rPr>
            </w:pPr>
            <w:r w:rsidRPr="00F24975">
              <w:rPr>
                <w:rFonts w:cstheme="minorHAnsi"/>
              </w:rPr>
              <w:lastRenderedPageBreak/>
              <w:t>U.S. No. 2 or better long grain Rough Rice, No heat-damaged &amp; No stained are permitted in a 500-gram sample. A maximum of 75 lightly discolored are permitted in a 500-gram sample</w:t>
            </w:r>
          </w:p>
        </w:tc>
      </w:tr>
      <w:tr w:rsidR="00DB12A8" w:rsidTr="008F2F80">
        <w:tc>
          <w:tcPr>
            <w:tcW w:w="1440" w:type="dxa"/>
          </w:tcPr>
          <w:p w:rsidR="00470959" w:rsidRDefault="00470959" w:rsidP="008C7158">
            <w:pPr>
              <w:pStyle w:val="ListParagraph"/>
              <w:ind w:left="0"/>
              <w:rPr>
                <w:rFonts w:cstheme="minorHAnsi"/>
              </w:rPr>
            </w:pPr>
            <w:r>
              <w:rPr>
                <w:rFonts w:cstheme="minorHAnsi"/>
              </w:rPr>
              <w:t>6-</w:t>
            </w:r>
            <w:r w:rsidR="00D806AD">
              <w:rPr>
                <w:rFonts w:cstheme="minorHAnsi"/>
              </w:rPr>
              <w:t xml:space="preserve"> Oat Futures</w:t>
            </w:r>
          </w:p>
        </w:tc>
        <w:tc>
          <w:tcPr>
            <w:tcW w:w="990" w:type="dxa"/>
          </w:tcPr>
          <w:p w:rsidR="00470959" w:rsidRDefault="00D806AD" w:rsidP="008C7158">
            <w:pPr>
              <w:pStyle w:val="ListParagraph"/>
              <w:ind w:left="0"/>
              <w:rPr>
                <w:rFonts w:cstheme="minorHAnsi"/>
              </w:rPr>
            </w:pPr>
            <w:r>
              <w:rPr>
                <w:rFonts w:cstheme="minorHAnsi"/>
              </w:rPr>
              <w:t>5,000 bushels</w:t>
            </w:r>
          </w:p>
        </w:tc>
        <w:tc>
          <w:tcPr>
            <w:tcW w:w="1620" w:type="dxa"/>
          </w:tcPr>
          <w:p w:rsidR="00470959" w:rsidRDefault="00D806AD" w:rsidP="008C7158">
            <w:pPr>
              <w:pStyle w:val="ListParagraph"/>
              <w:ind w:left="0"/>
              <w:rPr>
                <w:rFonts w:cstheme="minorHAnsi"/>
              </w:rPr>
            </w:pPr>
            <w:r w:rsidRPr="00F24975">
              <w:rPr>
                <w:rFonts w:cstheme="minorHAnsi"/>
              </w:rPr>
              <w:t>The business day preceding the 15th calendar day of deliverable current month</w:t>
            </w:r>
          </w:p>
        </w:tc>
        <w:tc>
          <w:tcPr>
            <w:tcW w:w="1890" w:type="dxa"/>
          </w:tcPr>
          <w:p w:rsidR="00470959" w:rsidRDefault="00546D34" w:rsidP="008F2F80">
            <w:pPr>
              <w:rPr>
                <w:rFonts w:cstheme="minorHAnsi"/>
              </w:rPr>
            </w:pPr>
            <w:r>
              <w:rPr>
                <w:rFonts w:cstheme="minorHAnsi"/>
              </w:rPr>
              <w:t>Chicago Switching District,</w:t>
            </w:r>
            <w:r w:rsidR="00D806AD" w:rsidRPr="00D806AD">
              <w:rPr>
                <w:rFonts w:cstheme="minorHAnsi"/>
              </w:rPr>
              <w:t xml:space="preserve"> Burns Harbor, Indiana Switching District, the Minneapolis, Minnesota Switching District, or the St. Paul, Minnesota Switching District</w:t>
            </w:r>
          </w:p>
        </w:tc>
        <w:tc>
          <w:tcPr>
            <w:tcW w:w="3037" w:type="dxa"/>
          </w:tcPr>
          <w:p w:rsidR="00470959" w:rsidRDefault="00D806AD" w:rsidP="008C7158">
            <w:pPr>
              <w:pStyle w:val="ListParagraph"/>
              <w:ind w:left="0"/>
              <w:rPr>
                <w:rFonts w:cstheme="minorHAnsi"/>
              </w:rPr>
            </w:pPr>
            <w:r w:rsidRPr="00F24975">
              <w:rPr>
                <w:rFonts w:cstheme="minorHAnsi"/>
              </w:rPr>
              <w:t>No. 2 Heavy Oats or No. 1 Oats at par, No. 1 Extra Heavy Oats at 7 cents per bushel over contract price, No. 2 Extra Heavy Oats at 4 cent</w:t>
            </w:r>
            <w:r w:rsidR="00546D34">
              <w:rPr>
                <w:rFonts w:cstheme="minorHAnsi"/>
              </w:rPr>
              <w:t>s per bushel</w:t>
            </w:r>
            <w:r w:rsidRPr="00F24975">
              <w:rPr>
                <w:rFonts w:cstheme="minorHAnsi"/>
              </w:rPr>
              <w:t>, No. 1 Heavy Oats at 3 cent</w:t>
            </w:r>
            <w:r w:rsidR="00546D34">
              <w:rPr>
                <w:rFonts w:cstheme="minorHAnsi"/>
              </w:rPr>
              <w:t>s per bushel</w:t>
            </w:r>
            <w:r w:rsidRPr="00F24975">
              <w:rPr>
                <w:rFonts w:cstheme="minorHAnsi"/>
              </w:rPr>
              <w:t>, or No. 2(36 pound total minimum test</w:t>
            </w:r>
            <w:r w:rsidR="00546D34">
              <w:rPr>
                <w:rFonts w:cstheme="minorHAnsi"/>
              </w:rPr>
              <w:t xml:space="preserve"> weight) at 3 cents per bushel</w:t>
            </w:r>
          </w:p>
        </w:tc>
      </w:tr>
      <w:tr w:rsidR="00DB12A8" w:rsidTr="008F2F80">
        <w:tc>
          <w:tcPr>
            <w:tcW w:w="1440" w:type="dxa"/>
          </w:tcPr>
          <w:p w:rsidR="00470959" w:rsidRDefault="00470959" w:rsidP="008C7158">
            <w:pPr>
              <w:pStyle w:val="ListParagraph"/>
              <w:ind w:left="0"/>
              <w:rPr>
                <w:rFonts w:cstheme="minorHAnsi"/>
              </w:rPr>
            </w:pPr>
            <w:r>
              <w:rPr>
                <w:rFonts w:cstheme="minorHAnsi"/>
              </w:rPr>
              <w:t>7-</w:t>
            </w:r>
            <w:r w:rsidR="00DA4C4C">
              <w:t xml:space="preserve"> </w:t>
            </w:r>
            <w:r w:rsidR="00DA4C4C" w:rsidRPr="00DA4C4C">
              <w:rPr>
                <w:rFonts w:cstheme="minorHAnsi"/>
              </w:rPr>
              <w:t>Mini-Sized Wheat Futures</w:t>
            </w:r>
          </w:p>
        </w:tc>
        <w:tc>
          <w:tcPr>
            <w:tcW w:w="990" w:type="dxa"/>
          </w:tcPr>
          <w:p w:rsidR="00470959" w:rsidRDefault="00D806AD" w:rsidP="008C7158">
            <w:pPr>
              <w:pStyle w:val="ListParagraph"/>
              <w:ind w:left="0"/>
              <w:rPr>
                <w:rFonts w:cstheme="minorHAnsi"/>
              </w:rPr>
            </w:pPr>
            <w:r>
              <w:rPr>
                <w:rFonts w:cstheme="minorHAnsi"/>
              </w:rPr>
              <w:t>1,000 bushels</w:t>
            </w:r>
          </w:p>
        </w:tc>
        <w:tc>
          <w:tcPr>
            <w:tcW w:w="1620" w:type="dxa"/>
          </w:tcPr>
          <w:p w:rsidR="00D806AD" w:rsidRPr="00F24975" w:rsidRDefault="00D806AD" w:rsidP="008C7158">
            <w:pPr>
              <w:rPr>
                <w:rFonts w:cstheme="minorHAnsi"/>
              </w:rPr>
            </w:pPr>
            <w:r w:rsidRPr="00F24975">
              <w:rPr>
                <w:rFonts w:cstheme="minorHAnsi"/>
              </w:rPr>
              <w:t>The business day preceding the 15th calendar day of deliverable current month</w:t>
            </w:r>
          </w:p>
          <w:p w:rsidR="00470959" w:rsidRDefault="00470959" w:rsidP="008C7158">
            <w:pPr>
              <w:pStyle w:val="ListParagraph"/>
              <w:ind w:left="0"/>
              <w:rPr>
                <w:rFonts w:cstheme="minorHAnsi"/>
              </w:rPr>
            </w:pPr>
          </w:p>
        </w:tc>
        <w:tc>
          <w:tcPr>
            <w:tcW w:w="1890" w:type="dxa"/>
          </w:tcPr>
          <w:p w:rsidR="00470959" w:rsidRDefault="00D806AD" w:rsidP="008C7158">
            <w:pPr>
              <w:pStyle w:val="ListParagraph"/>
              <w:ind w:left="0"/>
              <w:rPr>
                <w:rFonts w:cstheme="minorHAnsi"/>
              </w:rPr>
            </w:pPr>
            <w:r w:rsidRPr="00F24975">
              <w:rPr>
                <w:rFonts w:cstheme="minorHAnsi"/>
              </w:rPr>
              <w:t>Chicago Switching District, the Burns Harbor, Indiana Switching District, on the Ohio River, or the Toledo, Ohio Switching</w:t>
            </w:r>
          </w:p>
        </w:tc>
        <w:tc>
          <w:tcPr>
            <w:tcW w:w="3037" w:type="dxa"/>
          </w:tcPr>
          <w:p w:rsidR="00470959" w:rsidRDefault="00D806AD" w:rsidP="00546D34">
            <w:pPr>
              <w:rPr>
                <w:rFonts w:cstheme="minorHAnsi"/>
              </w:rPr>
            </w:pPr>
            <w:r w:rsidRPr="00D806AD">
              <w:rPr>
                <w:rFonts w:cstheme="minorHAnsi"/>
              </w:rPr>
              <w:t>No. 2 Soft Red Winter, No. 2 Hard Red Winter, No. 2 Dark Northern Spring, and No. 2 Northern Spring at par; and No. 1 Soft Red Winter, No. 1 Hard Red Winter, No. 1 Dark Northern Spring and No. 1 Northern Spring at 3 cen</w:t>
            </w:r>
            <w:r w:rsidR="00546D34">
              <w:rPr>
                <w:rFonts w:cstheme="minorHAnsi"/>
              </w:rPr>
              <w:t>ts per bushel</w:t>
            </w:r>
          </w:p>
        </w:tc>
      </w:tr>
      <w:tr w:rsidR="00DB12A8" w:rsidTr="008F2F80">
        <w:tc>
          <w:tcPr>
            <w:tcW w:w="1440" w:type="dxa"/>
          </w:tcPr>
          <w:p w:rsidR="00DA4C4C" w:rsidRPr="00DA4C4C" w:rsidRDefault="00470959" w:rsidP="008C7158">
            <w:pPr>
              <w:rPr>
                <w:rFonts w:cstheme="minorHAnsi"/>
              </w:rPr>
            </w:pPr>
            <w:r w:rsidRPr="00DA4C4C">
              <w:rPr>
                <w:rFonts w:cstheme="minorHAnsi"/>
              </w:rPr>
              <w:t>8-</w:t>
            </w:r>
            <w:r w:rsidR="00DA4C4C" w:rsidRPr="00DA4C4C">
              <w:rPr>
                <w:rFonts w:cstheme="minorHAnsi"/>
              </w:rPr>
              <w:t xml:space="preserve"> </w:t>
            </w:r>
            <w:r w:rsidR="00DA4C4C" w:rsidRPr="00DA4C4C">
              <w:rPr>
                <w:rFonts w:cstheme="minorHAnsi"/>
              </w:rPr>
              <w:t xml:space="preserve">KC HRW Wheat Futures </w:t>
            </w:r>
          </w:p>
          <w:p w:rsidR="00470959" w:rsidRDefault="00470959" w:rsidP="008C7158">
            <w:pPr>
              <w:pStyle w:val="ListParagraph"/>
              <w:ind w:left="0"/>
              <w:rPr>
                <w:rFonts w:cstheme="minorHAnsi"/>
              </w:rPr>
            </w:pPr>
          </w:p>
        </w:tc>
        <w:tc>
          <w:tcPr>
            <w:tcW w:w="990" w:type="dxa"/>
          </w:tcPr>
          <w:p w:rsidR="00470959" w:rsidRDefault="00D806AD" w:rsidP="008C7158">
            <w:pPr>
              <w:pStyle w:val="ListParagraph"/>
              <w:ind w:left="0"/>
              <w:rPr>
                <w:rFonts w:cstheme="minorHAnsi"/>
              </w:rPr>
            </w:pPr>
            <w:r>
              <w:rPr>
                <w:rFonts w:cstheme="minorHAnsi"/>
              </w:rPr>
              <w:t>5,000 bushels</w:t>
            </w:r>
          </w:p>
        </w:tc>
        <w:tc>
          <w:tcPr>
            <w:tcW w:w="1620" w:type="dxa"/>
          </w:tcPr>
          <w:p w:rsidR="00D806AD" w:rsidRPr="00F24975" w:rsidRDefault="00D806AD" w:rsidP="008C7158">
            <w:pPr>
              <w:rPr>
                <w:rFonts w:cstheme="minorHAnsi"/>
              </w:rPr>
            </w:pPr>
            <w:r w:rsidRPr="00F24975">
              <w:rPr>
                <w:rFonts w:cstheme="minorHAnsi"/>
              </w:rPr>
              <w:t>The business day preceding the 15th calendar day of deliverable current month</w:t>
            </w:r>
          </w:p>
          <w:p w:rsidR="00470959" w:rsidRDefault="00470959" w:rsidP="008C7158">
            <w:pPr>
              <w:pStyle w:val="ListParagraph"/>
              <w:ind w:left="0"/>
              <w:rPr>
                <w:rFonts w:cstheme="minorHAnsi"/>
              </w:rPr>
            </w:pPr>
          </w:p>
        </w:tc>
        <w:tc>
          <w:tcPr>
            <w:tcW w:w="1890" w:type="dxa"/>
          </w:tcPr>
          <w:p w:rsidR="00470959" w:rsidRDefault="00D806AD" w:rsidP="008C7158">
            <w:pPr>
              <w:pStyle w:val="ListParagraph"/>
              <w:ind w:left="0"/>
              <w:rPr>
                <w:rFonts w:cstheme="minorHAnsi"/>
              </w:rPr>
            </w:pPr>
            <w:r w:rsidRPr="00F24975">
              <w:rPr>
                <w:rFonts w:cstheme="minorHAnsi"/>
              </w:rPr>
              <w:t>Kansas City, Missouri/Kansas, Wichita Kansas, n Hutchinson Kansas, Salina/Abilene, Kansas.</w:t>
            </w:r>
          </w:p>
        </w:tc>
        <w:tc>
          <w:tcPr>
            <w:tcW w:w="3037" w:type="dxa"/>
          </w:tcPr>
          <w:p w:rsidR="00470959" w:rsidRDefault="00D806AD" w:rsidP="00546D34">
            <w:pPr>
              <w:rPr>
                <w:rFonts w:cstheme="minorHAnsi"/>
              </w:rPr>
            </w:pPr>
            <w:r w:rsidRPr="00D806AD">
              <w:rPr>
                <w:rFonts w:cstheme="minorHAnsi"/>
              </w:rPr>
              <w:t>No. 1 Hard Red Winter Wheat 11% protein level or higher deliverable at 1.5¢</w:t>
            </w:r>
            <w:r w:rsidR="00546D34">
              <w:rPr>
                <w:rFonts w:cstheme="minorHAnsi"/>
              </w:rPr>
              <w:t>/ bushel</w:t>
            </w:r>
            <w:r w:rsidRPr="00D806AD">
              <w:rPr>
                <w:rFonts w:cstheme="minorHAnsi"/>
              </w:rPr>
              <w:t xml:space="preserve">. No. 2 Hard Red Winter Wheat with 11% protein level or higher deliverable at contract price. All above grades are deliverable at protein levels equal to or greater than </w:t>
            </w:r>
            <w:r w:rsidRPr="00F24975">
              <w:rPr>
                <w:rFonts w:cstheme="minorHAnsi"/>
              </w:rPr>
              <w:t xml:space="preserve">10.5% but less than 11% at a </w:t>
            </w:r>
            <w:r w:rsidR="00546D34">
              <w:rPr>
                <w:rFonts w:cstheme="minorHAnsi"/>
              </w:rPr>
              <w:t>10¢/ bushel</w:t>
            </w:r>
          </w:p>
        </w:tc>
      </w:tr>
      <w:tr w:rsidR="00DB12A8" w:rsidTr="008F2F80">
        <w:tc>
          <w:tcPr>
            <w:tcW w:w="1440" w:type="dxa"/>
          </w:tcPr>
          <w:p w:rsidR="00470959" w:rsidRDefault="00470959" w:rsidP="008C7158">
            <w:pPr>
              <w:pStyle w:val="ListParagraph"/>
              <w:ind w:left="0"/>
              <w:rPr>
                <w:rFonts w:cstheme="minorHAnsi"/>
              </w:rPr>
            </w:pPr>
            <w:r>
              <w:rPr>
                <w:rFonts w:cstheme="minorHAnsi"/>
              </w:rPr>
              <w:t>9- Soybean Oil Futures</w:t>
            </w:r>
          </w:p>
        </w:tc>
        <w:tc>
          <w:tcPr>
            <w:tcW w:w="990" w:type="dxa"/>
          </w:tcPr>
          <w:p w:rsidR="00470959" w:rsidRDefault="00470959" w:rsidP="008C7158">
            <w:pPr>
              <w:pStyle w:val="ListParagraph"/>
              <w:ind w:left="0"/>
              <w:rPr>
                <w:rFonts w:cstheme="minorHAnsi"/>
              </w:rPr>
            </w:pPr>
            <w:r w:rsidRPr="00F24975">
              <w:rPr>
                <w:rFonts w:cstheme="minorHAnsi"/>
              </w:rPr>
              <w:t xml:space="preserve">60,000 </w:t>
            </w:r>
            <w:proofErr w:type="spellStart"/>
            <w:r w:rsidRPr="00F24975">
              <w:rPr>
                <w:rFonts w:cstheme="minorHAnsi"/>
              </w:rPr>
              <w:t>lbs</w:t>
            </w:r>
            <w:proofErr w:type="spellEnd"/>
          </w:p>
        </w:tc>
        <w:tc>
          <w:tcPr>
            <w:tcW w:w="1620" w:type="dxa"/>
          </w:tcPr>
          <w:p w:rsidR="00D806AD" w:rsidRPr="00F24975" w:rsidRDefault="00D806AD" w:rsidP="008C7158">
            <w:pPr>
              <w:rPr>
                <w:rFonts w:cstheme="minorHAnsi"/>
              </w:rPr>
            </w:pPr>
            <w:r w:rsidRPr="00F24975">
              <w:rPr>
                <w:rFonts w:cstheme="minorHAnsi"/>
              </w:rPr>
              <w:t>The business day preceding the 15th calendar day of deliverable current month</w:t>
            </w:r>
          </w:p>
          <w:p w:rsidR="00470959" w:rsidRDefault="00470959" w:rsidP="008C7158">
            <w:pPr>
              <w:pStyle w:val="ListParagraph"/>
              <w:ind w:left="0"/>
              <w:rPr>
                <w:rFonts w:cstheme="minorHAnsi"/>
              </w:rPr>
            </w:pPr>
          </w:p>
        </w:tc>
        <w:tc>
          <w:tcPr>
            <w:tcW w:w="1890" w:type="dxa"/>
          </w:tcPr>
          <w:p w:rsidR="00F1695E" w:rsidRDefault="00470959" w:rsidP="008C7158">
            <w:pPr>
              <w:rPr>
                <w:rFonts w:cstheme="minorHAnsi"/>
              </w:rPr>
            </w:pPr>
            <w:r w:rsidRPr="00470959">
              <w:rPr>
                <w:rFonts w:cstheme="minorHAnsi"/>
              </w:rPr>
              <w:t>Illinois Territory at contract price.</w:t>
            </w:r>
          </w:p>
          <w:p w:rsidR="00470959" w:rsidRDefault="00F1695E" w:rsidP="00F1695E">
            <w:pPr>
              <w:rPr>
                <w:rFonts w:cstheme="minorHAnsi"/>
              </w:rPr>
            </w:pPr>
            <w:r>
              <w:rPr>
                <w:rFonts w:cstheme="minorHAnsi"/>
              </w:rPr>
              <w:t>At 1</w:t>
            </w:r>
            <w:r>
              <w:rPr>
                <w:rFonts w:cstheme="minorHAnsi"/>
              </w:rPr>
              <w:t>¢/</w:t>
            </w:r>
            <w:r>
              <w:rPr>
                <w:rFonts w:cstheme="minorHAnsi"/>
              </w:rPr>
              <w:t xml:space="preserve">pound: </w:t>
            </w:r>
            <w:r w:rsidR="00470959" w:rsidRPr="00470959">
              <w:rPr>
                <w:rFonts w:cstheme="minorHAnsi"/>
              </w:rPr>
              <w:t xml:space="preserve"> Eastern Territory </w:t>
            </w:r>
            <w:r>
              <w:rPr>
                <w:rFonts w:cstheme="minorHAnsi"/>
              </w:rPr>
              <w:t xml:space="preserve">at 20/100ths; </w:t>
            </w:r>
            <w:r w:rsidR="00470959">
              <w:rPr>
                <w:rFonts w:cstheme="minorHAnsi"/>
              </w:rPr>
              <w:t xml:space="preserve">Eastern Iowa </w:t>
            </w:r>
            <w:r w:rsidR="00470959" w:rsidRPr="00470959">
              <w:rPr>
                <w:rFonts w:cstheme="minorHAnsi"/>
              </w:rPr>
              <w:t xml:space="preserve">at </w:t>
            </w:r>
            <w:r>
              <w:rPr>
                <w:rFonts w:cstheme="minorHAnsi"/>
              </w:rPr>
              <w:t>150/100ths;</w:t>
            </w:r>
            <w:r w:rsidR="00470959" w:rsidRPr="00470959">
              <w:rPr>
                <w:rFonts w:cstheme="minorHAnsi"/>
              </w:rPr>
              <w:t xml:space="preserve"> Southwest Territory </w:t>
            </w:r>
            <w:r>
              <w:rPr>
                <w:rFonts w:cstheme="minorHAnsi"/>
              </w:rPr>
              <w:t xml:space="preserve">at 135/100ths; </w:t>
            </w:r>
            <w:r w:rsidR="00470959" w:rsidRPr="00470959">
              <w:rPr>
                <w:rFonts w:cstheme="minorHAnsi"/>
              </w:rPr>
              <w:t xml:space="preserve">Western Territory </w:t>
            </w:r>
            <w:r>
              <w:rPr>
                <w:rFonts w:cstheme="minorHAnsi"/>
              </w:rPr>
              <w:t>at 5/100ths;</w:t>
            </w:r>
            <w:r w:rsidR="00470959" w:rsidRPr="00470959">
              <w:rPr>
                <w:rFonts w:cstheme="minorHAnsi"/>
              </w:rPr>
              <w:t xml:space="preserve">Northern Territory </w:t>
            </w:r>
            <w:r>
              <w:rPr>
                <w:rFonts w:cstheme="minorHAnsi"/>
              </w:rPr>
              <w:t>at 155/100ths</w:t>
            </w:r>
            <w:r w:rsidR="00470959" w:rsidRPr="00470959">
              <w:rPr>
                <w:rFonts w:cstheme="minorHAnsi"/>
              </w:rPr>
              <w:t xml:space="preserve"> </w:t>
            </w:r>
          </w:p>
        </w:tc>
        <w:tc>
          <w:tcPr>
            <w:tcW w:w="3037" w:type="dxa"/>
          </w:tcPr>
          <w:p w:rsidR="00470959" w:rsidRDefault="00470959" w:rsidP="008C7158">
            <w:pPr>
              <w:pStyle w:val="ListParagraph"/>
              <w:ind w:left="0"/>
              <w:rPr>
                <w:rFonts w:cstheme="minorHAnsi"/>
              </w:rPr>
            </w:pPr>
            <w:r w:rsidRPr="00F24975">
              <w:rPr>
                <w:rFonts w:cstheme="minorHAnsi"/>
              </w:rPr>
              <w:t>Expeller pressed, expeller pressed degummed, solvent extracted, or solvent extracted degummed. Mixtures of one type with any other</w:t>
            </w:r>
          </w:p>
        </w:tc>
      </w:tr>
      <w:tr w:rsidR="00DB12A8" w:rsidTr="008F2F80">
        <w:tc>
          <w:tcPr>
            <w:tcW w:w="1440" w:type="dxa"/>
          </w:tcPr>
          <w:p w:rsidR="00470959" w:rsidRDefault="00470959" w:rsidP="008C7158">
            <w:pPr>
              <w:pStyle w:val="ListParagraph"/>
              <w:ind w:left="0"/>
              <w:rPr>
                <w:rFonts w:cstheme="minorHAnsi"/>
              </w:rPr>
            </w:pPr>
            <w:r>
              <w:rPr>
                <w:rFonts w:cstheme="minorHAnsi"/>
              </w:rPr>
              <w:t>10-</w:t>
            </w:r>
            <w:r w:rsidRPr="00F24975">
              <w:rPr>
                <w:rFonts w:cstheme="minorHAnsi"/>
              </w:rPr>
              <w:t>Mini-Sized Wheat Futures</w:t>
            </w:r>
          </w:p>
        </w:tc>
        <w:tc>
          <w:tcPr>
            <w:tcW w:w="990" w:type="dxa"/>
          </w:tcPr>
          <w:p w:rsidR="00470959" w:rsidRDefault="00470959" w:rsidP="008C7158">
            <w:pPr>
              <w:pStyle w:val="ListParagraph"/>
              <w:ind w:left="0"/>
              <w:rPr>
                <w:rFonts w:cstheme="minorHAnsi"/>
              </w:rPr>
            </w:pPr>
            <w:r>
              <w:rPr>
                <w:rFonts w:cstheme="minorHAnsi"/>
              </w:rPr>
              <w:t>1,000 bushels</w:t>
            </w:r>
          </w:p>
        </w:tc>
        <w:tc>
          <w:tcPr>
            <w:tcW w:w="1620" w:type="dxa"/>
          </w:tcPr>
          <w:p w:rsidR="00470959" w:rsidRPr="00F24975" w:rsidRDefault="00470959" w:rsidP="008C7158">
            <w:pPr>
              <w:rPr>
                <w:rFonts w:cstheme="minorHAnsi"/>
              </w:rPr>
            </w:pPr>
            <w:r w:rsidRPr="00F24975">
              <w:rPr>
                <w:rFonts w:cstheme="minorHAnsi"/>
              </w:rPr>
              <w:t xml:space="preserve">The business day preceding the 15th calendar day of </w:t>
            </w:r>
            <w:r w:rsidRPr="00F24975">
              <w:rPr>
                <w:rFonts w:cstheme="minorHAnsi"/>
              </w:rPr>
              <w:lastRenderedPageBreak/>
              <w:t>deliverable current month</w:t>
            </w:r>
          </w:p>
          <w:p w:rsidR="00470959" w:rsidRDefault="00470959" w:rsidP="008C7158">
            <w:pPr>
              <w:pStyle w:val="ListParagraph"/>
              <w:ind w:left="0"/>
              <w:rPr>
                <w:rFonts w:cstheme="minorHAnsi"/>
              </w:rPr>
            </w:pPr>
          </w:p>
        </w:tc>
        <w:tc>
          <w:tcPr>
            <w:tcW w:w="1890" w:type="dxa"/>
          </w:tcPr>
          <w:p w:rsidR="00470959" w:rsidRDefault="00470959" w:rsidP="008C7158">
            <w:pPr>
              <w:pStyle w:val="ListParagraph"/>
              <w:ind w:left="0"/>
              <w:rPr>
                <w:rFonts w:cstheme="minorHAnsi"/>
              </w:rPr>
            </w:pPr>
            <w:r w:rsidRPr="00F24975">
              <w:rPr>
                <w:rFonts w:cstheme="minorHAnsi"/>
              </w:rPr>
              <w:lastRenderedPageBreak/>
              <w:t xml:space="preserve">Chicago Switching District, the Burns Harbor, Indiana Switching District, </w:t>
            </w:r>
            <w:r w:rsidRPr="00F24975">
              <w:rPr>
                <w:rFonts w:cstheme="minorHAnsi"/>
              </w:rPr>
              <w:lastRenderedPageBreak/>
              <w:t>on the Ohio River, or the Toledo, Ohio Switching</w:t>
            </w:r>
          </w:p>
        </w:tc>
        <w:tc>
          <w:tcPr>
            <w:tcW w:w="3037" w:type="dxa"/>
          </w:tcPr>
          <w:p w:rsidR="00470959" w:rsidRDefault="00470959" w:rsidP="008C7158">
            <w:pPr>
              <w:pStyle w:val="ListParagraph"/>
              <w:ind w:left="0"/>
              <w:rPr>
                <w:rFonts w:cstheme="minorHAnsi"/>
              </w:rPr>
            </w:pPr>
            <w:r w:rsidRPr="00F24975">
              <w:rPr>
                <w:rFonts w:cstheme="minorHAnsi"/>
              </w:rPr>
              <w:lastRenderedPageBreak/>
              <w:t xml:space="preserve">At 3¢ Premium: No. 1 Soft Red Winter, No. 1 Hard Red Winter, No. 1 Hard Red Winter,  No. 1 Dark Northern Spring; At </w:t>
            </w:r>
            <w:r w:rsidRPr="00F24975">
              <w:rPr>
                <w:rFonts w:cstheme="minorHAnsi"/>
              </w:rPr>
              <w:lastRenderedPageBreak/>
              <w:t>Contract Price: No. 2 Soft Red Winter, No. 2 Hard Red Winter, No. 2 Dark Northern Spring, No. 2 Northern Spring</w:t>
            </w:r>
          </w:p>
        </w:tc>
      </w:tr>
    </w:tbl>
    <w:p w:rsidR="008F2F80" w:rsidRDefault="008F2F80" w:rsidP="008F2F80">
      <w:pPr>
        <w:spacing w:line="480" w:lineRule="auto"/>
        <w:rPr>
          <w:rFonts w:cstheme="minorHAnsi"/>
        </w:rPr>
      </w:pPr>
    </w:p>
    <w:p w:rsidR="008F2F80" w:rsidRDefault="008C7158" w:rsidP="008C7158">
      <w:pPr>
        <w:pStyle w:val="ListParagraph"/>
        <w:numPr>
          <w:ilvl w:val="0"/>
          <w:numId w:val="1"/>
        </w:numPr>
        <w:spacing w:line="480" w:lineRule="auto"/>
        <w:rPr>
          <w:rFonts w:cstheme="minorHAnsi"/>
        </w:rPr>
      </w:pPr>
      <w:r w:rsidRPr="008F2F80">
        <w:rPr>
          <w:rFonts w:cstheme="minorHAnsi"/>
        </w:rPr>
        <w:t>How does exchange prepare for defaults?</w:t>
      </w:r>
    </w:p>
    <w:p w:rsidR="008C7158" w:rsidRPr="008F2F80" w:rsidRDefault="008C7158" w:rsidP="008F2F80">
      <w:pPr>
        <w:pStyle w:val="ListParagraph"/>
        <w:spacing w:line="480" w:lineRule="auto"/>
        <w:rPr>
          <w:rFonts w:cstheme="minorHAnsi"/>
        </w:rPr>
      </w:pPr>
      <w:r w:rsidRPr="008F2F80">
        <w:rPr>
          <w:rFonts w:cstheme="minorHAnsi"/>
        </w:rPr>
        <w:t>Acc</w:t>
      </w:r>
      <w:r w:rsidR="00DB12A8" w:rsidRPr="008F2F80">
        <w:rPr>
          <w:rFonts w:cstheme="minorHAnsi"/>
        </w:rPr>
        <w:t xml:space="preserve">ording to CME Group chapter 8, </w:t>
      </w:r>
      <w:r w:rsidR="00F1695E" w:rsidRPr="008F2F80">
        <w:rPr>
          <w:rFonts w:cstheme="minorHAnsi"/>
        </w:rPr>
        <w:t>i</w:t>
      </w:r>
      <w:r w:rsidRPr="008F2F80">
        <w:rPr>
          <w:rFonts w:cstheme="minorHAnsi"/>
        </w:rPr>
        <w:t>f a CBOT Clearing Member fails to fulfill any obligation to the Clea</w:t>
      </w:r>
      <w:r w:rsidR="00DB12A8" w:rsidRPr="008F2F80">
        <w:rPr>
          <w:rFonts w:cstheme="minorHAnsi"/>
        </w:rPr>
        <w:t xml:space="preserve">ring House or files bankruptcy, </w:t>
      </w:r>
      <w:r w:rsidRPr="008F2F80">
        <w:rPr>
          <w:rFonts w:cstheme="minorHAnsi"/>
        </w:rPr>
        <w:t xml:space="preserve">the Clearing House may declare this Clearing Member in default. In the event of default, the Basic Guarantee will be applied </w:t>
      </w:r>
      <w:r w:rsidR="00A5608B">
        <w:rPr>
          <w:rFonts w:cstheme="minorHAnsi"/>
        </w:rPr>
        <w:t xml:space="preserve">by the clearing house </w:t>
      </w:r>
      <w:r w:rsidRPr="008F2F80">
        <w:rPr>
          <w:rFonts w:cstheme="minorHAnsi"/>
        </w:rPr>
        <w:t>to pay any loss to the clearing house associated with such default or loss.</w:t>
      </w:r>
      <w:r w:rsidRPr="00F24975">
        <w:t xml:space="preserve"> </w:t>
      </w:r>
      <w:r w:rsidRPr="008F2F80">
        <w:rPr>
          <w:rFonts w:cstheme="minorHAnsi"/>
        </w:rPr>
        <w:t>If the contribution</w:t>
      </w:r>
      <w:r w:rsidR="00DB12A8" w:rsidRPr="008F2F80">
        <w:rPr>
          <w:rFonts w:cstheme="minorHAnsi"/>
        </w:rPr>
        <w:t xml:space="preserve"> or </w:t>
      </w:r>
      <w:r w:rsidR="00DB12A8" w:rsidRPr="008F2F80">
        <w:rPr>
          <w:rFonts w:cstheme="minorHAnsi"/>
        </w:rPr>
        <w:t>the performance bond relating to the products</w:t>
      </w:r>
      <w:r w:rsidRPr="008F2F80">
        <w:rPr>
          <w:rFonts w:cstheme="minorHAnsi"/>
        </w:rPr>
        <w:t xml:space="preserve"> of the Basic Guarantee Fund, and other assets of a defaulting clearing member available to the Clearing House are insufficient to meet all of its obligations ow</w:t>
      </w:r>
      <w:r w:rsidR="00F1695E" w:rsidRPr="008F2F80">
        <w:rPr>
          <w:rFonts w:cstheme="minorHAnsi"/>
        </w:rPr>
        <w:t xml:space="preserve">ed to the Clearing House, the Clearing House will </w:t>
      </w:r>
      <w:r w:rsidRPr="008F2F80">
        <w:rPr>
          <w:rFonts w:cstheme="minorHAnsi"/>
        </w:rPr>
        <w:t xml:space="preserve">pay all claims, which will be considered a liability of the defaulting member towards the clearing house, which the clearing house can recover from any other assets of that clearing member or by process. </w:t>
      </w:r>
    </w:p>
    <w:p w:rsidR="008C7158" w:rsidRPr="0093744E" w:rsidRDefault="008C7158" w:rsidP="008C7158">
      <w:pPr>
        <w:pStyle w:val="ListParagraph"/>
        <w:spacing w:line="480" w:lineRule="auto"/>
        <w:rPr>
          <w:rFonts w:cstheme="minorHAnsi"/>
          <w:b/>
        </w:rPr>
      </w:pPr>
      <w:r w:rsidRPr="0093744E">
        <w:rPr>
          <w:rFonts w:cstheme="minorHAnsi"/>
          <w:b/>
        </w:rPr>
        <w:t>3- Work done in attached excel sheet.</w:t>
      </w:r>
    </w:p>
    <w:p w:rsidR="007F5543" w:rsidRPr="0093744E" w:rsidRDefault="00F1695E" w:rsidP="007F5543">
      <w:pPr>
        <w:pStyle w:val="ListParagraph"/>
        <w:spacing w:line="480" w:lineRule="auto"/>
        <w:rPr>
          <w:rFonts w:cstheme="minorHAnsi"/>
          <w:b/>
        </w:rPr>
      </w:pPr>
      <w:r w:rsidRPr="0093744E">
        <w:rPr>
          <w:rFonts w:cstheme="minorHAnsi"/>
          <w:b/>
        </w:rPr>
        <w:t>4- Any recent developments in these exchanges &amp; reasons for changes</w:t>
      </w:r>
    </w:p>
    <w:p w:rsidR="007F5543" w:rsidRDefault="007F5543" w:rsidP="007F5543">
      <w:pPr>
        <w:pStyle w:val="ListParagraph"/>
        <w:spacing w:line="480" w:lineRule="auto"/>
        <w:rPr>
          <w:rFonts w:cstheme="minorHAnsi"/>
        </w:rPr>
      </w:pPr>
      <w:r w:rsidRPr="007F5543">
        <w:rPr>
          <w:rFonts w:cstheme="minorHAnsi"/>
        </w:rPr>
        <w:t>The CME group, including the CBOT, plan on adopting the SPAN 2 framework and also the existing SPAN as diversified portfolios margins in the next few years. The will provide compensation for the products subject to the SPAN and SPAN 2 change. The SPAN 2 will help enhancing the risk management capabilities in a single interface while keeping the current SPAN functions by adding new modeling, reporting and margin replication enhancements. Moreover, the initial and maintenance margin for gold futures were subject to incremental changes, from respectively $5,500 and $5,000 as of January 10, 2020, to $7,700 and $7,000 on March 24, 2020 at the clearing house. The purpose of this change was to accommodate for market volatility.</w:t>
      </w:r>
    </w:p>
    <w:p w:rsidR="00A5608B" w:rsidRDefault="00A5608B" w:rsidP="007F5543">
      <w:pPr>
        <w:pStyle w:val="ListParagraph"/>
        <w:spacing w:line="480" w:lineRule="auto"/>
        <w:rPr>
          <w:rFonts w:cstheme="minorHAnsi"/>
        </w:rPr>
      </w:pPr>
    </w:p>
    <w:p w:rsidR="00A5608B" w:rsidRPr="00C502AD" w:rsidRDefault="00A5608B" w:rsidP="00C502AD">
      <w:pPr>
        <w:spacing w:line="480" w:lineRule="auto"/>
        <w:jc w:val="center"/>
        <w:rPr>
          <w:rFonts w:cstheme="minorHAnsi"/>
          <w:b/>
          <w:sz w:val="28"/>
          <w:u w:val="single"/>
        </w:rPr>
      </w:pPr>
      <w:r w:rsidRPr="00C502AD">
        <w:rPr>
          <w:rFonts w:cstheme="minorHAnsi"/>
          <w:b/>
          <w:sz w:val="28"/>
          <w:u w:val="single"/>
        </w:rPr>
        <w:lastRenderedPageBreak/>
        <w:t>Word Cited</w:t>
      </w:r>
    </w:p>
    <w:p w:rsidR="00A5608B" w:rsidRDefault="00A5608B" w:rsidP="007F5543">
      <w:pPr>
        <w:pStyle w:val="ListParagraph"/>
        <w:spacing w:line="480" w:lineRule="auto"/>
        <w:rPr>
          <w:rFonts w:cstheme="minorHAnsi"/>
        </w:rPr>
      </w:pPr>
      <w:hyperlink r:id="rId12" w:history="1">
        <w:r w:rsidRPr="0004460C">
          <w:rPr>
            <w:rStyle w:val="Hyperlink"/>
            <w:rFonts w:cstheme="minorHAnsi"/>
          </w:rPr>
          <w:t>https://www.cmegroup.com/rulebook/CBOT/</w:t>
        </w:r>
      </w:hyperlink>
    </w:p>
    <w:p w:rsidR="0093744E" w:rsidRDefault="0093744E" w:rsidP="0093744E">
      <w:pPr>
        <w:pStyle w:val="ListParagraph"/>
        <w:spacing w:line="480" w:lineRule="auto"/>
        <w:rPr>
          <w:rFonts w:cstheme="minorHAnsi"/>
        </w:rPr>
      </w:pPr>
      <w:hyperlink r:id="rId13" w:history="1">
        <w:r w:rsidRPr="0004460C">
          <w:rPr>
            <w:rStyle w:val="Hyperlink"/>
            <w:rFonts w:cstheme="minorHAnsi"/>
          </w:rPr>
          <w:t>https://www.fxcm.com/markets/insights/evolution-of-the-marketplace-from-open-outcry-to-electronic-trading/</w:t>
        </w:r>
      </w:hyperlink>
    </w:p>
    <w:p w:rsidR="0093744E" w:rsidRPr="0093744E" w:rsidRDefault="0093744E" w:rsidP="0093744E">
      <w:pPr>
        <w:pStyle w:val="ListParagraph"/>
        <w:spacing w:line="480" w:lineRule="auto"/>
        <w:rPr>
          <w:rFonts w:cstheme="minorHAnsi"/>
        </w:rPr>
      </w:pPr>
    </w:p>
    <w:p w:rsidR="00F1695E" w:rsidRPr="00F24975" w:rsidRDefault="00F1695E" w:rsidP="008C7158">
      <w:pPr>
        <w:pStyle w:val="ListParagraph"/>
        <w:spacing w:line="480" w:lineRule="auto"/>
        <w:rPr>
          <w:rFonts w:cstheme="minorHAnsi"/>
        </w:rPr>
      </w:pPr>
    </w:p>
    <w:sectPr w:rsidR="00F1695E" w:rsidRPr="00F24975">
      <w:footerReference w:type="default" r:id="rId1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926" w:rsidRDefault="007A5926" w:rsidP="008C7158">
      <w:pPr>
        <w:spacing w:after="0" w:line="240" w:lineRule="auto"/>
      </w:pPr>
      <w:r>
        <w:separator/>
      </w:r>
    </w:p>
  </w:endnote>
  <w:endnote w:type="continuationSeparator" w:id="0">
    <w:p w:rsidR="007A5926" w:rsidRDefault="007A5926" w:rsidP="008C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513301"/>
      <w:docPartObj>
        <w:docPartGallery w:val="Page Numbers (Bottom of Page)"/>
        <w:docPartUnique/>
      </w:docPartObj>
    </w:sdtPr>
    <w:sdtContent>
      <w:p w:rsidR="0093744E" w:rsidRDefault="0093744E">
        <w:pPr>
          <w:pStyle w:val="Footer"/>
          <w:jc w:val="right"/>
        </w:pPr>
        <w:r>
          <w:fldChar w:fldCharType="begin"/>
        </w:r>
        <w:r>
          <w:instrText>PAGE   \* MERGEFORMAT</w:instrText>
        </w:r>
        <w:r>
          <w:fldChar w:fldCharType="separate"/>
        </w:r>
        <w:r w:rsidR="00404084" w:rsidRPr="00404084">
          <w:rPr>
            <w:noProof/>
            <w:lang w:val="fr-FR"/>
          </w:rPr>
          <w:t>6</w:t>
        </w:r>
        <w:r>
          <w:fldChar w:fldCharType="end"/>
        </w:r>
      </w:p>
    </w:sdtContent>
  </w:sdt>
  <w:p w:rsidR="0093744E" w:rsidRDefault="00937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926" w:rsidRDefault="007A5926" w:rsidP="008C7158">
      <w:pPr>
        <w:spacing w:after="0" w:line="240" w:lineRule="auto"/>
      </w:pPr>
      <w:r>
        <w:separator/>
      </w:r>
    </w:p>
  </w:footnote>
  <w:footnote w:type="continuationSeparator" w:id="0">
    <w:p w:rsidR="007A5926" w:rsidRDefault="007A5926" w:rsidP="008C71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56C8B"/>
    <w:multiLevelType w:val="hybridMultilevel"/>
    <w:tmpl w:val="39C0CBCA"/>
    <w:lvl w:ilvl="0" w:tplc="E7541A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8648F"/>
    <w:multiLevelType w:val="hybridMultilevel"/>
    <w:tmpl w:val="022A774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F1512F2"/>
    <w:multiLevelType w:val="hybridMultilevel"/>
    <w:tmpl w:val="F3D28AB6"/>
    <w:lvl w:ilvl="0" w:tplc="18608A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3E060A"/>
    <w:multiLevelType w:val="hybridMultilevel"/>
    <w:tmpl w:val="37E25C1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64F4F2A"/>
    <w:multiLevelType w:val="hybridMultilevel"/>
    <w:tmpl w:val="72164E7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EDE4718"/>
    <w:multiLevelType w:val="hybridMultilevel"/>
    <w:tmpl w:val="88B03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E60D41"/>
    <w:multiLevelType w:val="hybridMultilevel"/>
    <w:tmpl w:val="DD6AEC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570675"/>
    <w:multiLevelType w:val="hybridMultilevel"/>
    <w:tmpl w:val="982EAE5A"/>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B1948BC"/>
    <w:multiLevelType w:val="hybridMultilevel"/>
    <w:tmpl w:val="4614C3B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D891AA6"/>
    <w:multiLevelType w:val="hybridMultilevel"/>
    <w:tmpl w:val="4614C3B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8321F9C"/>
    <w:multiLevelType w:val="hybridMultilevel"/>
    <w:tmpl w:val="C5D06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DE447C"/>
    <w:multiLevelType w:val="hybridMultilevel"/>
    <w:tmpl w:val="FF146F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743466"/>
    <w:multiLevelType w:val="hybridMultilevel"/>
    <w:tmpl w:val="F97CB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63778D"/>
    <w:multiLevelType w:val="hybridMultilevel"/>
    <w:tmpl w:val="DD6AEC2E"/>
    <w:lvl w:ilvl="0" w:tplc="040C000F">
      <w:start w:val="1"/>
      <w:numFmt w:val="decimal"/>
      <w:lvlText w:val="%1."/>
      <w:lvlJc w:val="left"/>
      <w:pPr>
        <w:ind w:left="990" w:hanging="360"/>
      </w:pPr>
    </w:lvl>
    <w:lvl w:ilvl="1" w:tplc="040C0019" w:tentative="1">
      <w:start w:val="1"/>
      <w:numFmt w:val="lowerLetter"/>
      <w:lvlText w:val="%2."/>
      <w:lvlJc w:val="left"/>
      <w:pPr>
        <w:ind w:left="1710" w:hanging="360"/>
      </w:pPr>
    </w:lvl>
    <w:lvl w:ilvl="2" w:tplc="040C001B" w:tentative="1">
      <w:start w:val="1"/>
      <w:numFmt w:val="lowerRoman"/>
      <w:lvlText w:val="%3."/>
      <w:lvlJc w:val="right"/>
      <w:pPr>
        <w:ind w:left="2430" w:hanging="180"/>
      </w:pPr>
    </w:lvl>
    <w:lvl w:ilvl="3" w:tplc="040C000F" w:tentative="1">
      <w:start w:val="1"/>
      <w:numFmt w:val="decimal"/>
      <w:lvlText w:val="%4."/>
      <w:lvlJc w:val="left"/>
      <w:pPr>
        <w:ind w:left="3150" w:hanging="360"/>
      </w:pPr>
    </w:lvl>
    <w:lvl w:ilvl="4" w:tplc="040C0019" w:tentative="1">
      <w:start w:val="1"/>
      <w:numFmt w:val="lowerLetter"/>
      <w:lvlText w:val="%5."/>
      <w:lvlJc w:val="left"/>
      <w:pPr>
        <w:ind w:left="3870" w:hanging="360"/>
      </w:pPr>
    </w:lvl>
    <w:lvl w:ilvl="5" w:tplc="040C001B" w:tentative="1">
      <w:start w:val="1"/>
      <w:numFmt w:val="lowerRoman"/>
      <w:lvlText w:val="%6."/>
      <w:lvlJc w:val="right"/>
      <w:pPr>
        <w:ind w:left="4590" w:hanging="180"/>
      </w:pPr>
    </w:lvl>
    <w:lvl w:ilvl="6" w:tplc="040C000F" w:tentative="1">
      <w:start w:val="1"/>
      <w:numFmt w:val="decimal"/>
      <w:lvlText w:val="%7."/>
      <w:lvlJc w:val="left"/>
      <w:pPr>
        <w:ind w:left="5310" w:hanging="360"/>
      </w:pPr>
    </w:lvl>
    <w:lvl w:ilvl="7" w:tplc="040C0019" w:tentative="1">
      <w:start w:val="1"/>
      <w:numFmt w:val="lowerLetter"/>
      <w:lvlText w:val="%8."/>
      <w:lvlJc w:val="left"/>
      <w:pPr>
        <w:ind w:left="6030" w:hanging="360"/>
      </w:pPr>
    </w:lvl>
    <w:lvl w:ilvl="8" w:tplc="040C001B" w:tentative="1">
      <w:start w:val="1"/>
      <w:numFmt w:val="lowerRoman"/>
      <w:lvlText w:val="%9."/>
      <w:lvlJc w:val="right"/>
      <w:pPr>
        <w:ind w:left="6750" w:hanging="180"/>
      </w:pPr>
    </w:lvl>
  </w:abstractNum>
  <w:num w:numId="1">
    <w:abstractNumId w:val="5"/>
  </w:num>
  <w:num w:numId="2">
    <w:abstractNumId w:val="10"/>
  </w:num>
  <w:num w:numId="3">
    <w:abstractNumId w:val="13"/>
  </w:num>
  <w:num w:numId="4">
    <w:abstractNumId w:val="8"/>
  </w:num>
  <w:num w:numId="5">
    <w:abstractNumId w:val="3"/>
  </w:num>
  <w:num w:numId="6">
    <w:abstractNumId w:val="4"/>
  </w:num>
  <w:num w:numId="7">
    <w:abstractNumId w:val="11"/>
  </w:num>
  <w:num w:numId="8">
    <w:abstractNumId w:val="1"/>
  </w:num>
  <w:num w:numId="9">
    <w:abstractNumId w:val="7"/>
  </w:num>
  <w:num w:numId="10">
    <w:abstractNumId w:val="12"/>
  </w:num>
  <w:num w:numId="11">
    <w:abstractNumId w:val="9"/>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6A"/>
    <w:rsid w:val="00041414"/>
    <w:rsid w:val="00044F03"/>
    <w:rsid w:val="00056FD7"/>
    <w:rsid w:val="001F68B0"/>
    <w:rsid w:val="00210729"/>
    <w:rsid w:val="0024060E"/>
    <w:rsid w:val="002C4013"/>
    <w:rsid w:val="002C5B44"/>
    <w:rsid w:val="002E0517"/>
    <w:rsid w:val="003919F9"/>
    <w:rsid w:val="003E3B59"/>
    <w:rsid w:val="00404084"/>
    <w:rsid w:val="00405D72"/>
    <w:rsid w:val="00470959"/>
    <w:rsid w:val="004C7712"/>
    <w:rsid w:val="004F4A54"/>
    <w:rsid w:val="0051348F"/>
    <w:rsid w:val="00525F6A"/>
    <w:rsid w:val="00540A52"/>
    <w:rsid w:val="00546D34"/>
    <w:rsid w:val="0055148C"/>
    <w:rsid w:val="00551CC1"/>
    <w:rsid w:val="005D0136"/>
    <w:rsid w:val="0066196F"/>
    <w:rsid w:val="006E1C17"/>
    <w:rsid w:val="00736C2B"/>
    <w:rsid w:val="00773E82"/>
    <w:rsid w:val="007A5926"/>
    <w:rsid w:val="007B2BAF"/>
    <w:rsid w:val="007E03C9"/>
    <w:rsid w:val="007E08BE"/>
    <w:rsid w:val="007F5543"/>
    <w:rsid w:val="00807303"/>
    <w:rsid w:val="00857F3C"/>
    <w:rsid w:val="008C7158"/>
    <w:rsid w:val="008F2F80"/>
    <w:rsid w:val="00932539"/>
    <w:rsid w:val="0093744E"/>
    <w:rsid w:val="009724B2"/>
    <w:rsid w:val="00992894"/>
    <w:rsid w:val="009C6C1B"/>
    <w:rsid w:val="00A17937"/>
    <w:rsid w:val="00A31AA4"/>
    <w:rsid w:val="00A556EB"/>
    <w:rsid w:val="00A5608B"/>
    <w:rsid w:val="00A70448"/>
    <w:rsid w:val="00AE0AB7"/>
    <w:rsid w:val="00AF1874"/>
    <w:rsid w:val="00AF32D2"/>
    <w:rsid w:val="00B2002F"/>
    <w:rsid w:val="00B956AF"/>
    <w:rsid w:val="00C502AD"/>
    <w:rsid w:val="00C53DB4"/>
    <w:rsid w:val="00D03F45"/>
    <w:rsid w:val="00D4764C"/>
    <w:rsid w:val="00D806AD"/>
    <w:rsid w:val="00D86863"/>
    <w:rsid w:val="00DA4C4C"/>
    <w:rsid w:val="00DB12A8"/>
    <w:rsid w:val="00DD325B"/>
    <w:rsid w:val="00DD67F5"/>
    <w:rsid w:val="00F1695E"/>
    <w:rsid w:val="00F24975"/>
    <w:rsid w:val="00F93EDE"/>
    <w:rsid w:val="00FB3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176ED-1EEE-4878-A334-9675531B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ED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6A"/>
    <w:pPr>
      <w:ind w:left="720"/>
      <w:contextualSpacing/>
    </w:pPr>
  </w:style>
  <w:style w:type="table" w:styleId="TableGrid">
    <w:name w:val="Table Grid"/>
    <w:basedOn w:val="TableNormal"/>
    <w:uiPriority w:val="39"/>
    <w:rsid w:val="0054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71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7158"/>
    <w:rPr>
      <w:lang w:val="en-US"/>
    </w:rPr>
  </w:style>
  <w:style w:type="paragraph" w:styleId="Footer">
    <w:name w:val="footer"/>
    <w:basedOn w:val="Normal"/>
    <w:link w:val="FooterChar"/>
    <w:uiPriority w:val="99"/>
    <w:unhideWhenUsed/>
    <w:rsid w:val="008C71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7158"/>
    <w:rPr>
      <w:lang w:val="en-US"/>
    </w:rPr>
  </w:style>
  <w:style w:type="character" w:styleId="Hyperlink">
    <w:name w:val="Hyperlink"/>
    <w:basedOn w:val="DefaultParagraphFont"/>
    <w:uiPriority w:val="99"/>
    <w:unhideWhenUsed/>
    <w:rsid w:val="00A56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97108">
      <w:bodyDiv w:val="1"/>
      <w:marLeft w:val="0"/>
      <w:marRight w:val="0"/>
      <w:marTop w:val="0"/>
      <w:marBottom w:val="0"/>
      <w:divBdr>
        <w:top w:val="none" w:sz="0" w:space="0" w:color="auto"/>
        <w:left w:val="none" w:sz="0" w:space="0" w:color="auto"/>
        <w:bottom w:val="none" w:sz="0" w:space="0" w:color="auto"/>
        <w:right w:val="none" w:sz="0" w:space="0" w:color="auto"/>
      </w:divBdr>
    </w:div>
    <w:div w:id="16207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xcm.com/markets/insights/evolution-of-the-marketplace-from-open-outcry-to-electronic-tra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megroup.com/rulebook/CB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BC7A1-D0F8-4349-AD10-05FD31443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6</Pages>
  <Words>1400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G3</dc:creator>
  <cp:keywords/>
  <dc:description/>
  <cp:lastModifiedBy>Probook G3</cp:lastModifiedBy>
  <cp:revision>7</cp:revision>
  <dcterms:created xsi:type="dcterms:W3CDTF">2020-11-28T20:04:00Z</dcterms:created>
  <dcterms:modified xsi:type="dcterms:W3CDTF">2020-12-07T20:39:00Z</dcterms:modified>
</cp:coreProperties>
</file>