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720"/>
        <w:jc w:val="center"/>
      </w:pPr>
      <w:r>
        <w:rPr>
          <w:rFonts w:ascii="Calibri" w:cs="Calibri" w:eastAsia="Calibri" w:hAnsi="Calibri"/>
          <w:b/>
          <w:bCs/>
          <w:color w:val="2563EB"/>
          <w:sz w:val="24"/>
          <w:szCs w:val="24"/>
        </w:rPr>
        <w:t xml:space="preserve">PORTAIL OPÉRATIONNEL MÉCATRONIQUE</w:t>
      </w:r>
    </w:p>
    <w:p>
      <w:pPr>
        <w:spacing w:after="240" w:before="120"/>
        <w:jc w:val="center"/>
      </w:pPr>
      <w:r>
        <w:rPr>
          <w:rFonts w:ascii="Calibri" w:cs="Calibri" w:eastAsia="Calibri" w:hAnsi="Calibri"/>
          <w:b/>
          <w:bCs/>
          <w:color w:val="002395"/>
          <w:sz w:val="54"/>
          <w:szCs w:val="54"/>
        </w:rPr>
        <w:t xml:space="preserve">WORKFLOW MANAGER</w:t>
      </w:r>
    </w:p>
    <w:p>
      <w:pPr>
        <w:spacing w:after="480" w:before="0"/>
        <w:jc w:val="center"/>
      </w:pPr>
      <w:r>
        <w:rPr>
          <w:rFonts w:ascii="Calibri" w:cs="Calibri" w:eastAsia="Calibri" w:hAnsi="Calibri"/>
          <w:color w:val="0F172A"/>
          <w:sz w:val="28"/>
          <w:szCs w:val="28"/>
        </w:rPr>
        <w:t xml:space="preserve">Guide Intégral &amp; Manuel de Référence Opérationnel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02395" w:sz="24"/>
              <w:bottom w:val="none" w:color="auto" w:sz="0"/>
              <w:right w:val="none" w:color="auto" w:sz="0"/>
            </w:tcBorders>
            <w:shd w:fill="EFF6FF" w:val="clear"/>
            <w:tcMar>
              <w:top w:type="dxa" w:w="140"/>
              <w:left w:type="dxa" w:w="200"/>
              <w:bottom w:type="dxa" w:w="140"/>
              <w:right w:type="dxa" w:w="200"/>
            </w:tcMar>
          </w:tcPr>
          <w:p>
            <w:r>
              <w:rPr>
                <w:rFonts w:ascii="Calibri" w:cs="Calibri" w:eastAsia="Calibri" w:hAnsi="Calibri"/>
                <w:b/>
                <w:bCs/>
                <w:color w:val="002395"/>
                <w:sz w:val="22"/>
                <w:szCs w:val="22"/>
              </w:rPr>
              <w:t xml:space="preserve">[INFO SÉCURITÉ] Périmètre &amp; Conformité du Document</w:t>
            </w:r>
          </w:p>
          <w:p>
            <w:pPr>
              <w:spacing w:before="60"/>
            </w:pPr>
            <w:r>
              <w:rPr>
                <w:rFonts w:ascii="Calibri" w:cs="Calibri" w:eastAsia="Calibri" w:hAnsi="Calibri"/>
                <w:color w:val="0F172A"/>
                <w:sz w:val="20"/>
                <w:szCs w:val="20"/>
              </w:rPr>
              <w:t xml:space="preserve">Ce document constitue le référentiel complet d'architecture logicielle, de gouvernance des habilitations, des processus de validation et de la politique de sécurité NIS 2 / ISO 27001 de la solution Workflow Manager. Version 2.4.0 (Septembre 2026).</w:t>
            </w:r>
          </w:p>
        </w:tc>
      </w:tr>
    </w:tbl>
    <w:p>
      <w:pPr>
        <w:spacing w:after="120" w:before="360"/>
      </w:pPr>
    </w:p>
    <w:p>
      <w:pPr>
        <w:pStyle w:val="Heading1"/>
        <w:spacing w:after="180" w:before="360"/>
      </w:pPr>
      <w:r>
        <w:rPr>
          <w:rFonts w:ascii="Calibri" w:cs="Calibri" w:eastAsia="Calibri" w:hAnsi="Calibri"/>
          <w:b/>
          <w:bCs/>
          <w:color w:val="002395"/>
          <w:sz w:val="32"/>
          <w:szCs w:val="32"/>
        </w:rPr>
        <w:t xml:space="preserve">1. Vue d'Ensemble &amp; Architecture Technique</w:t>
      </w:r>
    </w:p>
    <w:p>
      <w:pPr>
        <w:spacing w:after="80" w:before="80" w:line="280"/>
      </w:pPr>
      <w:r>
        <w:rPr>
          <w:rFonts w:ascii="Calibri" w:cs="Calibri" w:eastAsia="Calibri" w:hAnsi="Calibri"/>
          <w:color w:val="334155"/>
          <w:sz w:val="22"/>
          <w:szCs w:val="22"/>
        </w:rPr>
        <w:t xml:space="preserve">Workflow Manager est une solution complète conçue pour piloter le cycle de vie des accès physiques et logiques sur les sites opérationnels, la distribution des clés électroniques mécatroniques programmables (F9000), des badges RFID et la traçabilité intégrale des interventions.</w:t>
      </w:r>
    </w:p>
    <w:p>
      <w:pPr>
        <w:spacing w:after="80" w:before="80" w:line="280"/>
      </w:pPr>
      <w:r>
        <w:rPr>
          <w:rFonts w:ascii="Calibri" w:cs="Calibri" w:eastAsia="Calibri" w:hAnsi="Calibri"/>
          <w:color w:val="334155"/>
          <w:sz w:val="22"/>
          <w:szCs w:val="22"/>
        </w:rPr>
        <w:t xml:space="preserve">L'application repose sur une philosophie Zero-Hardcoding : l'ensemble des processus, des formulaires, des tables de référence, des règles métier et de la matrice des statuts est entièrement configurable depuis l'interface d'administration sans modifier le code source.</w:t>
      </w:r>
    </w:p>
    <w:p>
      <w:pPr>
        <w:pStyle w:val="Heading3"/>
        <w:spacing w:after="80" w:before="180"/>
      </w:pPr>
      <w:r>
        <w:rPr>
          <w:rFonts w:ascii="Calibri" w:cs="Calibri" w:eastAsia="Calibri" w:hAnsi="Calibri"/>
          <w:b/>
          <w:bCs/>
          <w:color w:val="2563EB"/>
          <w:sz w:val="22"/>
          <w:szCs w:val="22"/>
        </w:rPr>
        <w:t xml:space="preserve">Composants Technologiques Principaux</w:t>
      </w:r>
    </w:p>
    <w:p>
      <w:pPr>
        <w:pStyle w:val="ListParagraph"/>
        <w:numPr>
          <w:ilvl w:val="0"/>
          <w:numId w:val="1"/>
        </w:numPr>
        <w:spacing w:after="40" w:before="40" w:line="260"/>
      </w:pPr>
      <w:r>
        <w:rPr>
          <w:rFonts w:ascii="Calibri" w:cs="Calibri" w:eastAsia="Calibri" w:hAnsi="Calibri"/>
          <w:b/>
          <w:bCs/>
          <w:color w:val="0F172A"/>
          <w:sz w:val="22"/>
          <w:szCs w:val="22"/>
        </w:rPr>
        <w:t xml:space="preserve">• Interface Utilisateur : </w:t>
      </w:r>
      <w:r>
        <w:rPr>
          <w:rFonts w:ascii="Calibri" w:cs="Calibri" w:eastAsia="Calibri" w:hAnsi="Calibri"/>
          <w:color w:val="334155"/>
          <w:sz w:val="22"/>
          <w:szCs w:val="22"/>
        </w:rPr>
        <w:t xml:space="preserve">Frontend React 19, TypeScript et Tailwind CSS pour une interface fluide, accessible (WCAG 2.1 AA) et responsive.</w:t>
      </w:r>
    </w:p>
    <w:p>
      <w:pPr>
        <w:pStyle w:val="ListParagraph"/>
        <w:numPr>
          <w:ilvl w:val="0"/>
          <w:numId w:val="1"/>
        </w:numPr>
        <w:spacing w:after="40" w:before="40" w:line="260"/>
      </w:pPr>
      <w:r>
        <w:rPr>
          <w:rFonts w:ascii="Calibri" w:cs="Calibri" w:eastAsia="Calibri" w:hAnsi="Calibri"/>
          <w:b/>
          <w:bCs/>
          <w:color w:val="0F172A"/>
          <w:sz w:val="22"/>
          <w:szCs w:val="22"/>
        </w:rPr>
        <w:t xml:space="preserve">• Backend : </w:t>
      </w:r>
      <w:r>
        <w:rPr>
          <w:rFonts w:ascii="Calibri" w:cs="Calibri" w:eastAsia="Calibri" w:hAnsi="Calibri"/>
          <w:color w:val="334155"/>
          <w:sz w:val="22"/>
          <w:szCs w:val="22"/>
        </w:rPr>
        <w:t xml:space="preserve">Serveur Express 4 et runtime Node.js avec architecture en couches (Contrôleurs, Services, Référentiels).</w:t>
      </w:r>
    </w:p>
    <w:p>
      <w:pPr>
        <w:pStyle w:val="ListParagraph"/>
        <w:numPr>
          <w:ilvl w:val="0"/>
          <w:numId w:val="1"/>
        </w:numPr>
        <w:spacing w:after="40" w:before="40" w:line="260"/>
      </w:pPr>
      <w:r>
        <w:rPr>
          <w:rFonts w:ascii="Calibri" w:cs="Calibri" w:eastAsia="Calibri" w:hAnsi="Calibri"/>
          <w:b/>
          <w:bCs/>
          <w:color w:val="0F172A"/>
          <w:sz w:val="22"/>
          <w:szCs w:val="22"/>
        </w:rPr>
        <w:t xml:space="preserve">• Persistance Multi-Moteur : </w:t>
      </w:r>
      <w:r>
        <w:rPr>
          <w:rFonts w:ascii="Calibri" w:cs="Calibri" w:eastAsia="Calibri" w:hAnsi="Calibri"/>
          <w:color w:val="334155"/>
          <w:sz w:val="22"/>
          <w:szCs w:val="22"/>
        </w:rPr>
        <w:t xml:space="preserve">Abstraite via l'interface unifiée ISqliteDb. Supporte SQLite (embarqué) et MariaDB / MySQL (haute disponibilité d'entreprise).</w:t>
      </w:r>
    </w:p>
    <w:p>
      <w:pPr>
        <w:pStyle w:val="ListParagraph"/>
        <w:numPr>
          <w:ilvl w:val="0"/>
          <w:numId w:val="1"/>
        </w:numPr>
        <w:spacing w:after="40" w:before="40" w:line="260"/>
      </w:pPr>
      <w:r>
        <w:rPr>
          <w:rFonts w:ascii="Calibri" w:cs="Calibri" w:eastAsia="Calibri" w:hAnsi="Calibri"/>
          <w:b/>
          <w:bCs/>
          <w:color w:val="0F172A"/>
          <w:sz w:val="22"/>
          <w:szCs w:val="22"/>
        </w:rPr>
        <w:t xml:space="preserve">• Multi-Tenant &amp; Marque Blanche : </w:t>
      </w:r>
      <w:r>
        <w:rPr>
          <w:rFonts w:ascii="Calibri" w:cs="Calibri" w:eastAsia="Calibri" w:hAnsi="Calibri"/>
          <w:color w:val="334155"/>
          <w:sz w:val="22"/>
          <w:szCs w:val="22"/>
        </w:rPr>
        <w:t xml:space="preserve">Cloisonnement étanche des données par tenant_id avec personnalisation de marque (logo, couleurs, charte graphique).</w:t>
      </w:r>
    </w:p>
    <w:p>
      <w:pPr>
        <w:pStyle w:val="ListParagraph"/>
        <w:numPr>
          <w:ilvl w:val="0"/>
          <w:numId w:val="1"/>
        </w:numPr>
        <w:spacing w:after="40" w:before="40" w:line="260"/>
      </w:pPr>
      <w:r>
        <w:rPr>
          <w:rFonts w:ascii="Calibri" w:cs="Calibri" w:eastAsia="Calibri" w:hAnsi="Calibri"/>
          <w:b/>
          <w:bCs/>
          <w:color w:val="0F172A"/>
          <w:sz w:val="22"/>
          <w:szCs w:val="22"/>
        </w:rPr>
        <w:t xml:space="preserve">• Sécurité NIS 2 : </w:t>
      </w:r>
      <w:r>
        <w:rPr>
          <w:rFonts w:ascii="Calibri" w:cs="Calibri" w:eastAsia="Calibri" w:hAnsi="Calibri"/>
          <w:color w:val="334155"/>
          <w:sz w:val="22"/>
          <w:szCs w:val="22"/>
        </w:rPr>
        <w:t xml:space="preserve">Génération de jetons JWT sécurisés, rate limiting contre les attaques par force brute, hachage bcrypt et audit trails immuables.</w:t>
      </w:r>
    </w:p>
    <w:p>
      <w:pPr>
        <w:spacing w:after="120" w:before="240"/>
      </w:pPr>
    </w:p>
    <w:p>
      <w:pPr>
        <w:pStyle w:val="Heading1"/>
        <w:spacing w:after="180" w:before="360"/>
      </w:pPr>
      <w:r>
        <w:rPr>
          <w:rFonts w:ascii="Calibri" w:cs="Calibri" w:eastAsia="Calibri" w:hAnsi="Calibri"/>
          <w:b/>
          <w:bCs/>
          <w:color w:val="002395"/>
          <w:sz w:val="32"/>
          <w:szCs w:val="32"/>
        </w:rPr>
        <w:t xml:space="preserve">2. Profils Opérationnels &amp; Matrice RBAC</w:t>
      </w:r>
    </w:p>
    <w:p>
      <w:pPr>
        <w:spacing w:after="80" w:before="80" w:line="280"/>
      </w:pPr>
      <w:r>
        <w:rPr>
          <w:rFonts w:ascii="Calibri" w:cs="Calibri" w:eastAsia="Calibri" w:hAnsi="Calibri"/>
          <w:color w:val="334155"/>
          <w:sz w:val="22"/>
          <w:szCs w:val="22"/>
        </w:rPr>
        <w:t xml:space="preserve">La gestion des droits s'appuie sur un système RBAC (Role-Based Access Control) couplé à des périmètres de données dynamiques (Data Scopes : propre compte, département, sites assignés, tous dossiers).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257"/>
        <w:gridCol w:w="3430"/>
        <w:gridCol w:w="1354"/>
      </w:tblGrid>
      <w:tr>
        <w:trPr>
          <w:tblHeader/>
        </w:trPr>
        <w:tc>
          <w:tcPr>
            <w:tcW w:type="pct" w:w="1100"/>
            <w:tcBorders>
              <w:top w:val="single" w:color="E2E8F0" w:sz="1"/>
              <w:left w:val="single" w:color="E2E8F0" w:sz="1"/>
              <w:bottom w:val="single" w:color="E2E8F0" w:sz="1"/>
              <w:right w:val="single" w:color="E2E8F0" w:sz="1"/>
            </w:tcBorders>
            <w:shd w:fill="002395" w:val="clear"/>
            <w:tcMar>
              <w:top w:type="dxa" w:w="120"/>
              <w:left w:type="dxa" w:w="140"/>
              <w:bottom w:type="dxa" w:w="120"/>
              <w:right w:type="dxa" w:w="140"/>
            </w:tcMar>
          </w:tcPr>
          <w:p>
            <w:r>
              <w:rPr>
                <w:rFonts w:ascii="Calibri" w:cs="Calibri" w:eastAsia="Calibri" w:hAnsi="Calibri"/>
                <w:b/>
                <w:bCs/>
                <w:color w:val="FFFFFF"/>
                <w:sz w:val="20"/>
                <w:szCs w:val="20"/>
              </w:rPr>
              <w:t xml:space="preserve">Rôle Opérationnel</w:t>
            </w:r>
          </w:p>
        </w:tc>
        <w:tc>
          <w:tcPr>
            <w:tcW w:type="pct" w:w="1250"/>
            <w:tcBorders>
              <w:top w:val="single" w:color="E2E8F0" w:sz="1"/>
              <w:left w:val="single" w:color="E2E8F0" w:sz="1"/>
              <w:bottom w:val="single" w:color="E2E8F0" w:sz="1"/>
              <w:right w:val="single" w:color="E2E8F0" w:sz="1"/>
            </w:tcBorders>
            <w:shd w:fill="002395" w:val="clear"/>
            <w:tcMar>
              <w:top w:type="dxa" w:w="120"/>
              <w:left w:type="dxa" w:w="140"/>
              <w:bottom w:type="dxa" w:w="120"/>
              <w:right w:type="dxa" w:w="140"/>
            </w:tcMar>
          </w:tcPr>
          <w:p>
            <w:r>
              <w:rPr>
                <w:rFonts w:ascii="Calibri" w:cs="Calibri" w:eastAsia="Calibri" w:hAnsi="Calibri"/>
                <w:b/>
                <w:bCs/>
                <w:color w:val="FFFFFF"/>
                <w:sz w:val="20"/>
                <w:szCs w:val="20"/>
              </w:rPr>
              <w:t xml:space="preserve">Email Démo</w:t>
            </w:r>
          </w:p>
        </w:tc>
        <w:tc>
          <w:tcPr>
            <w:tcW w:type="pct" w:w="1900"/>
            <w:tcBorders>
              <w:top w:val="single" w:color="E2E8F0" w:sz="1"/>
              <w:left w:val="single" w:color="E2E8F0" w:sz="1"/>
              <w:bottom w:val="single" w:color="E2E8F0" w:sz="1"/>
              <w:right w:val="single" w:color="E2E8F0" w:sz="1"/>
            </w:tcBorders>
            <w:shd w:fill="002395" w:val="clear"/>
            <w:tcMar>
              <w:top w:type="dxa" w:w="120"/>
              <w:left w:type="dxa" w:w="140"/>
              <w:bottom w:type="dxa" w:w="120"/>
              <w:right w:type="dxa" w:w="140"/>
            </w:tcMar>
          </w:tcPr>
          <w:p>
            <w:r>
              <w:rPr>
                <w:rFonts w:ascii="Calibri" w:cs="Calibri" w:eastAsia="Calibri" w:hAnsi="Calibri"/>
                <w:b/>
                <w:bCs/>
                <w:color w:val="FFFFFF"/>
                <w:sz w:val="20"/>
                <w:szCs w:val="20"/>
              </w:rPr>
              <w:t xml:space="preserve">Missions &amp; Responsabilités</w:t>
            </w:r>
          </w:p>
        </w:tc>
        <w:tc>
          <w:tcPr>
            <w:tcW w:type="pct" w:w="750"/>
            <w:tcBorders>
              <w:top w:val="single" w:color="E2E8F0" w:sz="1"/>
              <w:left w:val="single" w:color="E2E8F0" w:sz="1"/>
              <w:bottom w:val="single" w:color="E2E8F0" w:sz="1"/>
              <w:right w:val="single" w:color="E2E8F0" w:sz="1"/>
            </w:tcBorders>
            <w:shd w:fill="002395" w:val="clear"/>
            <w:tcMar>
              <w:top w:type="dxa" w:w="120"/>
              <w:left w:type="dxa" w:w="140"/>
              <w:bottom w:type="dxa" w:w="120"/>
              <w:right w:type="dxa" w:w="140"/>
            </w:tcMar>
          </w:tcPr>
          <w:p>
            <w:r>
              <w:rPr>
                <w:rFonts w:ascii="Calibri" w:cs="Calibri" w:eastAsia="Calibri" w:hAnsi="Calibri"/>
                <w:b/>
                <w:bCs/>
                <w:color w:val="FFFFFF"/>
                <w:sz w:val="20"/>
                <w:szCs w:val="20"/>
              </w:rPr>
              <w:t xml:space="preserve">Périmètre Données</w:t>
            </w:r>
          </w:p>
        </w:tc>
      </w:tr>
      <w:tr>
        <w:tc>
          <w:tcPr>
            <w:tcW w:type="pct" w:w="11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Administrateur</w:t>
            </w:r>
          </w:p>
        </w:tc>
        <w:tc>
          <w:tcPr>
            <w:tcW w:type="pct" w:w="12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admin@entreprise.fr</w:t>
            </w:r>
          </w:p>
        </w:tc>
        <w:tc>
          <w:tcPr>
            <w:tcW w:type="pct" w:w="1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Gouvernance totale, modélisation des processus, configuration des règles, tables de référence et gestion des rôles.</w:t>
            </w:r>
          </w:p>
        </w:tc>
        <w:tc>
          <w:tcPr>
            <w:tcW w:type="pct" w:w="7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Global (Tous dossiers)</w:t>
            </w:r>
          </w:p>
        </w:tc>
      </w:tr>
      <w:tr>
        <w:tc>
          <w:tcPr>
            <w:tcW w:type="pct" w:w="11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Validateur Site</w:t>
            </w:r>
          </w:p>
        </w:tc>
        <w:tc>
          <w:tcPr>
            <w:tcW w:type="pct" w:w="12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validateur@entreprise.fr</w:t>
            </w:r>
          </w:p>
        </w:tc>
        <w:tc>
          <w:tcPr>
            <w:tcW w:type="pct" w:w="1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Validation hiérarchique et technique des accès sur son périmètre géographique, habilité aux signatures électroniques.</w:t>
            </w:r>
          </w:p>
        </w:tc>
        <w:tc>
          <w:tcPr>
            <w:tcW w:type="pct" w:w="7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Sites assignés</w:t>
            </w:r>
          </w:p>
        </w:tc>
      </w:tr>
      <w:tr>
        <w:tc>
          <w:tcPr>
            <w:tcW w:type="pct" w:w="11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Manager N+1</w:t>
            </w:r>
          </w:p>
        </w:tc>
        <w:tc>
          <w:tcPr>
            <w:tcW w:type="pct" w:w="12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manager@entreprise.fr</w:t>
            </w:r>
          </w:p>
        </w:tc>
        <w:tc>
          <w:tcPr>
            <w:tcW w:type="pct" w:w="1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Approbation préalable des demandes déposées par les agents de son service ou équipe.</w:t>
            </w:r>
          </w:p>
        </w:tc>
        <w:tc>
          <w:tcPr>
            <w:tcW w:type="pct" w:w="7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Département / Équipe</w:t>
            </w:r>
          </w:p>
        </w:tc>
      </w:tr>
      <w:tr>
        <w:tc>
          <w:tcPr>
            <w:tcW w:type="pct" w:w="11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Demandeur</w:t>
            </w:r>
          </w:p>
        </w:tc>
        <w:tc>
          <w:tcPr>
            <w:tcW w:type="pct" w:w="12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daniel@entreprise.fr</w:t>
            </w:r>
          </w:p>
        </w:tc>
        <w:tc>
          <w:tcPr>
            <w:tcW w:type="pct" w:w="1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Initiation de dossiers d'accès, suivi en temps réel, génération des bordereaux PDF, gestion du matériel.</w:t>
            </w:r>
          </w:p>
        </w:tc>
        <w:tc>
          <w:tcPr>
            <w:tcW w:type="pct" w:w="7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Personnel (Propres dossiers)</w:t>
            </w:r>
          </w:p>
        </w:tc>
      </w:tr>
    </w:tbl>
    <w:p>
      <w:pPr>
        <w:spacing w:after="80" w:before="80" w:line="280"/>
      </w:pPr>
      <w:r>
        <w:rPr>
          <w:rFonts w:ascii="Calibri" w:cs="Calibri" w:eastAsia="Calibri" w:hAnsi="Calibri"/>
          <w:color w:val="334155"/>
          <w:sz w:val="22"/>
          <w:szCs w:val="22"/>
        </w:rPr>
        <w:t xml:space="preserve">Le mot de passe unifié pour l'ensemble des comptes préconfigurés de démonstration est : Securite2026!</w:t>
      </w:r>
    </w:p>
    <w:p>
      <w:pPr>
        <w:spacing w:after="120" w:before="240"/>
      </w:pPr>
    </w:p>
    <w:p>
      <w:pPr>
        <w:pStyle w:val="Heading1"/>
        <w:spacing w:after="180" w:before="360"/>
      </w:pPr>
      <w:r>
        <w:rPr>
          <w:rFonts w:ascii="Calibri" w:cs="Calibri" w:eastAsia="Calibri" w:hAnsi="Calibri"/>
          <w:b/>
          <w:bCs/>
          <w:color w:val="002395"/>
          <w:sz w:val="32"/>
          <w:szCs w:val="32"/>
        </w:rPr>
        <w:t xml:space="preserve">3. Parcours Utilisateur Opérationnels</w:t>
      </w:r>
    </w:p>
    <w:p>
      <w:pPr>
        <w:pStyle w:val="Heading2"/>
        <w:spacing w:after="120" w:before="240"/>
      </w:pPr>
      <w:r>
        <w:rPr>
          <w:rFonts w:ascii="Calibri" w:cs="Calibri" w:eastAsia="Calibri" w:hAnsi="Calibri"/>
          <w:b/>
          <w:bCs/>
          <w:color w:val="0F172A"/>
          <w:sz w:val="26"/>
          <w:szCs w:val="26"/>
        </w:rPr>
        <w:t xml:space="preserve">3.1 Espace Demandeur &amp; Création de Dossiers</w:t>
      </w:r>
    </w:p>
    <w:p>
      <w:pPr>
        <w:spacing w:after="80" w:before="80" w:line="280"/>
      </w:pPr>
      <w:r>
        <w:rPr>
          <w:rFonts w:ascii="Calibri" w:cs="Calibri" w:eastAsia="Calibri" w:hAnsi="Calibri"/>
          <w:color w:val="334155"/>
          <w:sz w:val="22"/>
          <w:szCs w:val="22"/>
        </w:rPr>
        <w:t xml:space="preserve">Les agents et prestataires tiers accèdent au Catalogue Opérationnel qui regroupe les 8 processus normalisés. Le formulaire dynamique guide la saisie :</w:t>
      </w:r>
    </w:p>
    <w:p>
      <w:pPr>
        <w:pStyle w:val="ListParagraph"/>
        <w:numPr>
          <w:ilvl w:val="0"/>
          <w:numId w:val="1"/>
        </w:numPr>
        <w:spacing w:after="40" w:before="40" w:line="260"/>
      </w:pPr>
      <w:r>
        <w:rPr>
          <w:rFonts w:ascii="Calibri" w:cs="Calibri" w:eastAsia="Calibri" w:hAnsi="Calibri"/>
          <w:b/>
          <w:bCs/>
          <w:color w:val="0F172A"/>
          <w:sz w:val="22"/>
          <w:szCs w:val="22"/>
        </w:rPr>
        <w:t xml:space="preserve">• Mode Équipe : </w:t>
      </w:r>
      <w:r>
        <w:rPr>
          <w:rFonts w:ascii="Calibri" w:cs="Calibri" w:eastAsia="Calibri" w:hAnsi="Calibri"/>
          <w:color w:val="334155"/>
          <w:sz w:val="22"/>
          <w:szCs w:val="22"/>
        </w:rPr>
        <w:t xml:space="preserve">Choix du type d'intervention (unitaire ou en équipe de sous-traitance avec déclaration de société et liste d'agents).</w:t>
      </w:r>
    </w:p>
    <w:p>
      <w:pPr>
        <w:pStyle w:val="ListParagraph"/>
        <w:numPr>
          <w:ilvl w:val="0"/>
          <w:numId w:val="1"/>
        </w:numPr>
        <w:spacing w:after="40" w:before="40" w:line="260"/>
      </w:pPr>
      <w:r>
        <w:rPr>
          <w:rFonts w:ascii="Calibri" w:cs="Calibri" w:eastAsia="Calibri" w:hAnsi="Calibri"/>
          <w:b/>
          <w:bCs/>
          <w:color w:val="0F172A"/>
          <w:sz w:val="22"/>
          <w:szCs w:val="22"/>
        </w:rPr>
        <w:t xml:space="preserve">• Multi-Sites : </w:t>
      </w:r>
      <w:r>
        <w:rPr>
          <w:rFonts w:ascii="Calibri" w:cs="Calibri" w:eastAsia="Calibri" w:hAnsi="Calibri"/>
          <w:color w:val="334155"/>
          <w:sz w:val="22"/>
          <w:szCs w:val="22"/>
        </w:rPr>
        <w:t xml:space="preserve">Sélection possible de plusieurs gares ou centres techniques en un seul dossier.</w:t>
      </w:r>
    </w:p>
    <w:p>
      <w:pPr>
        <w:pStyle w:val="ListParagraph"/>
        <w:numPr>
          <w:ilvl w:val="0"/>
          <w:numId w:val="1"/>
        </w:numPr>
        <w:spacing w:after="40" w:before="40" w:line="260"/>
      </w:pPr>
      <w:r>
        <w:rPr>
          <w:rFonts w:ascii="Calibri" w:cs="Calibri" w:eastAsia="Calibri" w:hAnsi="Calibri"/>
          <w:b/>
          <w:bCs/>
          <w:color w:val="0F172A"/>
          <w:sz w:val="22"/>
          <w:szCs w:val="22"/>
        </w:rPr>
        <w:t xml:space="preserve">• Dépôt de Pièces Jointes : </w:t>
      </w:r>
      <w:r>
        <w:rPr>
          <w:rFonts w:ascii="Calibri" w:cs="Calibri" w:eastAsia="Calibri" w:hAnsi="Calibri"/>
          <w:color w:val="334155"/>
          <w:sz w:val="22"/>
          <w:szCs w:val="22"/>
        </w:rPr>
        <w:t xml:space="preserve">Vérification automatique de la taille, de l'extension et du type MIME pour bloquer tout fichier malveillant.</w:t>
      </w:r>
    </w:p>
    <w:p>
      <w:pPr>
        <w:pStyle w:val="ListParagraph"/>
        <w:numPr>
          <w:ilvl w:val="0"/>
          <w:numId w:val="1"/>
        </w:numPr>
        <w:spacing w:after="40" w:before="40" w:line="260"/>
      </w:pPr>
      <w:r>
        <w:rPr>
          <w:rFonts w:ascii="Calibri" w:cs="Calibri" w:eastAsia="Calibri" w:hAnsi="Calibri"/>
          <w:b/>
          <w:bCs/>
          <w:color w:val="0F172A"/>
          <w:sz w:val="22"/>
          <w:szCs w:val="22"/>
        </w:rPr>
        <w:t xml:space="preserve">• Bordereau PDF : </w:t>
      </w:r>
      <w:r>
        <w:rPr>
          <w:rFonts w:ascii="Calibri" w:cs="Calibri" w:eastAsia="Calibri" w:hAnsi="Calibri"/>
          <w:color w:val="334155"/>
          <w:sz w:val="22"/>
          <w:szCs w:val="22"/>
        </w:rPr>
        <w:t xml:space="preserve">Génération instantanée du Bordereau d'Accès PDF horodaté contenant un QR Code officiel et le tampon de signature.</w:t>
      </w:r>
    </w:p>
    <w:p>
      <w:pPr>
        <w:pStyle w:val="Heading2"/>
        <w:spacing w:after="120" w:before="240"/>
      </w:pPr>
      <w:r>
        <w:rPr>
          <w:rFonts w:ascii="Calibri" w:cs="Calibri" w:eastAsia="Calibri" w:hAnsi="Calibri"/>
          <w:b/>
          <w:bCs/>
          <w:color w:val="0F172A"/>
          <w:sz w:val="26"/>
          <w:szCs w:val="26"/>
        </w:rPr>
        <w:t xml:space="preserve">3.2 Corbeille Validateur &amp; Traitement des Demandes</w:t>
      </w:r>
    </w:p>
    <w:p>
      <w:pPr>
        <w:spacing w:after="80" w:before="80" w:line="280"/>
      </w:pPr>
      <w:r>
        <w:rPr>
          <w:rFonts w:ascii="Calibri" w:cs="Calibri" w:eastAsia="Calibri" w:hAnsi="Calibri"/>
          <w:color w:val="334155"/>
          <w:sz w:val="22"/>
          <w:szCs w:val="22"/>
        </w:rPr>
        <w:t xml:space="preserve">La Corbeille offre aux managers et validateurs de site une vision claire et priorisée :</w:t>
      </w:r>
    </w:p>
    <w:p>
      <w:pPr>
        <w:pStyle w:val="ListParagraph"/>
        <w:numPr>
          <w:ilvl w:val="0"/>
          <w:numId w:val="1"/>
        </w:numPr>
        <w:spacing w:after="40" w:before="40" w:line="260"/>
      </w:pPr>
      <w:r>
        <w:rPr>
          <w:rFonts w:ascii="Calibri" w:cs="Calibri" w:eastAsia="Calibri" w:hAnsi="Calibri"/>
          <w:b/>
          <w:bCs/>
          <w:color w:val="0F172A"/>
          <w:sz w:val="22"/>
          <w:szCs w:val="22"/>
        </w:rPr>
        <w:t xml:space="preserve">• Respect des SLA : </w:t>
      </w:r>
      <w:r>
        <w:rPr>
          <w:rFonts w:ascii="Calibri" w:cs="Calibri" w:eastAsia="Calibri" w:hAnsi="Calibri"/>
          <w:color w:val="334155"/>
          <w:sz w:val="22"/>
          <w:szCs w:val="22"/>
        </w:rPr>
        <w:t xml:space="preserve">Chaque dossier affiche un badge visuel (SLA 24h, 48h, Urgent) avec alerte sonore en cas de dépassement imminent.</w:t>
      </w:r>
    </w:p>
    <w:p>
      <w:pPr>
        <w:pStyle w:val="ListParagraph"/>
        <w:numPr>
          <w:ilvl w:val="0"/>
          <w:numId w:val="1"/>
        </w:numPr>
        <w:spacing w:after="40" w:before="40" w:line="260"/>
      </w:pPr>
      <w:r>
        <w:rPr>
          <w:rFonts w:ascii="Calibri" w:cs="Calibri" w:eastAsia="Calibri" w:hAnsi="Calibri"/>
          <w:b/>
          <w:bCs/>
          <w:color w:val="0F172A"/>
          <w:sz w:val="22"/>
          <w:szCs w:val="22"/>
        </w:rPr>
        <w:t xml:space="preserve">• Décisions par Lot (UX-01) : </w:t>
      </w:r>
      <w:r>
        <w:rPr>
          <w:rFonts w:ascii="Calibri" w:cs="Calibri" w:eastAsia="Calibri" w:hAnsi="Calibri"/>
          <w:color w:val="334155"/>
          <w:sz w:val="22"/>
          <w:szCs w:val="22"/>
        </w:rPr>
        <w:t xml:space="preserve">Possibilité de sélectionner simultanément des dizaines de dossiers conformes pour les approuver ou les refuser en un clic.</w:t>
      </w:r>
    </w:p>
    <w:p>
      <w:pPr>
        <w:pStyle w:val="ListParagraph"/>
        <w:numPr>
          <w:ilvl w:val="0"/>
          <w:numId w:val="1"/>
        </w:numPr>
        <w:spacing w:after="40" w:before="40" w:line="260"/>
      </w:pPr>
      <w:r>
        <w:rPr>
          <w:rFonts w:ascii="Calibri" w:cs="Calibri" w:eastAsia="Calibri" w:hAnsi="Calibri"/>
          <w:b/>
          <w:bCs/>
          <w:color w:val="0F172A"/>
          <w:sz w:val="22"/>
          <w:szCs w:val="22"/>
        </w:rPr>
        <w:t xml:space="preserve">• Demande de Compléments : </w:t>
      </w:r>
      <w:r>
        <w:rPr>
          <w:rFonts w:ascii="Calibri" w:cs="Calibri" w:eastAsia="Calibri" w:hAnsi="Calibri"/>
          <w:color w:val="334155"/>
          <w:sz w:val="22"/>
          <w:szCs w:val="22"/>
        </w:rPr>
        <w:t xml:space="preserve">Dialogue structuré avec le demandeur pour obtenir une pièce complémentaire sans rejeter le dossier.</w:t>
      </w:r>
    </w:p>
    <w:p>
      <w:pPr>
        <w:pStyle w:val="ListParagraph"/>
        <w:numPr>
          <w:ilvl w:val="0"/>
          <w:numId w:val="1"/>
        </w:numPr>
        <w:spacing w:after="40" w:before="40" w:line="260"/>
      </w:pPr>
      <w:r>
        <w:rPr>
          <w:rFonts w:ascii="Calibri" w:cs="Calibri" w:eastAsia="Calibri" w:hAnsi="Calibri"/>
          <w:b/>
          <w:bCs/>
          <w:color w:val="0F172A"/>
          <w:sz w:val="22"/>
          <w:szCs w:val="22"/>
        </w:rPr>
        <w:t xml:space="preserve">• Délégations : </w:t>
      </w:r>
      <w:r>
        <w:rPr>
          <w:rFonts w:ascii="Calibri" w:cs="Calibri" w:eastAsia="Calibri" w:hAnsi="Calibri"/>
          <w:color w:val="334155"/>
          <w:sz w:val="22"/>
          <w:szCs w:val="22"/>
        </w:rPr>
        <w:t xml:space="preserve">Désignation d'un suppléant en cas d'absence pour assurer la continuité des validations.</w:t>
      </w:r>
    </w:p>
    <w:p>
      <w:pPr>
        <w:pStyle w:val="Heading2"/>
        <w:spacing w:after="120" w:before="240"/>
      </w:pPr>
      <w:r>
        <w:rPr>
          <w:rFonts w:ascii="Calibri" w:cs="Calibri" w:eastAsia="Calibri" w:hAnsi="Calibri"/>
          <w:b/>
          <w:bCs/>
          <w:color w:val="0F172A"/>
          <w:sz w:val="26"/>
          <w:szCs w:val="26"/>
        </w:rPr>
        <w:t xml:space="preserve">3.3 Régie Matérielle &amp; Restitution Sécurisée</w:t>
      </w:r>
    </w:p>
    <w:p>
      <w:pPr>
        <w:spacing w:after="80" w:before="80" w:line="280"/>
      </w:pPr>
      <w:r>
        <w:rPr>
          <w:rFonts w:ascii="Calibri" w:cs="Calibri" w:eastAsia="Calibri" w:hAnsi="Calibri"/>
          <w:color w:val="334155"/>
          <w:sz w:val="22"/>
          <w:szCs w:val="22"/>
        </w:rPr>
        <w:t xml:space="preserve">La Régie contrôle physiquement l'équipement (clés électroniques F9000, badges RFID, programmateurs de poche) :</w:t>
      </w:r>
    </w:p>
    <w:p>
      <w:pPr>
        <w:pStyle w:val="ListParagraph"/>
        <w:numPr>
          <w:ilvl w:val="0"/>
          <w:numId w:val="1"/>
        </w:numPr>
        <w:spacing w:after="40" w:before="40" w:line="260"/>
      </w:pPr>
      <w:r>
        <w:rPr>
          <w:rFonts w:ascii="Calibri" w:cs="Calibri" w:eastAsia="Calibri" w:hAnsi="Calibri"/>
          <w:b/>
          <w:bCs/>
          <w:color w:val="0F172A"/>
          <w:sz w:val="22"/>
          <w:szCs w:val="22"/>
        </w:rPr>
        <w:t xml:space="preserve">• Contrats de Restitution (US 3.3) : </w:t>
      </w:r>
      <w:r>
        <w:rPr>
          <w:rFonts w:ascii="Calibri" w:cs="Calibri" w:eastAsia="Calibri" w:hAnsi="Calibri"/>
          <w:color w:val="334155"/>
          <w:sz w:val="22"/>
          <w:szCs w:val="22"/>
        </w:rPr>
        <w:t xml:space="preserve">Établissement d'un contrat contradictoire lors de la remise et de la reprise du matériel.</w:t>
      </w:r>
    </w:p>
    <w:p>
      <w:pPr>
        <w:pStyle w:val="ListParagraph"/>
        <w:numPr>
          <w:ilvl w:val="0"/>
          <w:numId w:val="1"/>
        </w:numPr>
        <w:spacing w:after="40" w:before="40" w:line="260"/>
      </w:pPr>
      <w:r>
        <w:rPr>
          <w:rFonts w:ascii="Calibri" w:cs="Calibri" w:eastAsia="Calibri" w:hAnsi="Calibri"/>
          <w:b/>
          <w:bCs/>
          <w:color w:val="0F172A"/>
          <w:sz w:val="22"/>
          <w:szCs w:val="22"/>
        </w:rPr>
        <w:t xml:space="preserve">• Pénalités : </w:t>
      </w:r>
      <w:r>
        <w:rPr>
          <w:rFonts w:ascii="Calibri" w:cs="Calibri" w:eastAsia="Calibri" w:hAnsi="Calibri"/>
          <w:color w:val="334155"/>
          <w:sz w:val="22"/>
          <w:szCs w:val="22"/>
        </w:rPr>
        <w:t xml:space="preserve">Calcul dynamique des pénalités financières et administratives en cas de retard, détérioration ou perte.</w:t>
      </w:r>
    </w:p>
    <w:p>
      <w:pPr>
        <w:pStyle w:val="ListParagraph"/>
        <w:numPr>
          <w:ilvl w:val="0"/>
          <w:numId w:val="1"/>
        </w:numPr>
        <w:spacing w:after="40" w:before="40" w:line="260"/>
      </w:pPr>
      <w:r>
        <w:rPr>
          <w:rFonts w:ascii="Calibri" w:cs="Calibri" w:eastAsia="Calibri" w:hAnsi="Calibri"/>
          <w:b/>
          <w:bCs/>
          <w:color w:val="0F172A"/>
          <w:sz w:val="22"/>
          <w:szCs w:val="22"/>
        </w:rPr>
        <w:t xml:space="preserve">• Révocation &amp; Blacklisting : </w:t>
      </w:r>
      <w:r>
        <w:rPr>
          <w:rFonts w:ascii="Calibri" w:cs="Calibri" w:eastAsia="Calibri" w:hAnsi="Calibri"/>
          <w:color w:val="334155"/>
          <w:sz w:val="22"/>
          <w:szCs w:val="22"/>
        </w:rPr>
        <w:t xml:space="preserve">Révocation immédiate d'une clé perdue ou volée avec propagation de l'interdiction sur les serrures de site.</w:t>
      </w:r>
    </w:p>
    <w:p>
      <w:pPr>
        <w:pStyle w:val="Heading2"/>
        <w:spacing w:after="120" w:before="240"/>
      </w:pPr>
      <w:r>
        <w:rPr>
          <w:rFonts w:ascii="Calibri" w:cs="Calibri" w:eastAsia="Calibri" w:hAnsi="Calibri"/>
          <w:b/>
          <w:bCs/>
          <w:color w:val="0F172A"/>
          <w:sz w:val="26"/>
          <w:szCs w:val="26"/>
        </w:rPr>
        <w:t xml:space="preserve">3.4 Console Nationale &amp; Supervision</w:t>
      </w:r>
    </w:p>
    <w:p>
      <w:pPr>
        <w:spacing w:after="80" w:before="80" w:line="280"/>
      </w:pPr>
      <w:r>
        <w:rPr>
          <w:rFonts w:ascii="Calibri" w:cs="Calibri" w:eastAsia="Calibri" w:hAnsi="Calibri"/>
          <w:color w:val="334155"/>
          <w:sz w:val="22"/>
          <w:szCs w:val="22"/>
        </w:rPr>
        <w:t xml:space="preserve">Offre au commandement national une cartographie globale des chantiers en cours, des volumes d'accès par région et des anomalies de sécurité.</w:t>
      </w:r>
    </w:p>
    <w:p>
      <w:pPr>
        <w:spacing w:after="120" w:before="240"/>
      </w:pPr>
    </w:p>
    <w:p>
      <w:pPr>
        <w:pStyle w:val="Heading1"/>
        <w:spacing w:after="180" w:before="360"/>
      </w:pPr>
      <w:r>
        <w:rPr>
          <w:rFonts w:ascii="Calibri" w:cs="Calibri" w:eastAsia="Calibri" w:hAnsi="Calibri"/>
          <w:b/>
          <w:bCs/>
          <w:color w:val="002395"/>
          <w:sz w:val="32"/>
          <w:szCs w:val="32"/>
        </w:rPr>
        <w:t xml:space="preserve">4. Moteurs Métiers Spécialisés (Zero-Hardcoding)</w:t>
      </w:r>
    </w:p>
    <w:p>
      <w:pPr>
        <w:pStyle w:val="Heading2"/>
        <w:spacing w:after="120" w:before="240"/>
      </w:pPr>
      <w:r>
        <w:rPr>
          <w:rFonts w:ascii="Calibri" w:cs="Calibri" w:eastAsia="Calibri" w:hAnsi="Calibri"/>
          <w:b/>
          <w:bCs/>
          <w:color w:val="0F172A"/>
          <w:sz w:val="26"/>
          <w:szCs w:val="26"/>
        </w:rPr>
        <w:t xml:space="preserve">4.1 Machine à États &amp; Workflows Parent-Enfant</w:t>
      </w:r>
    </w:p>
    <w:p>
      <w:pPr>
        <w:spacing w:after="80" w:before="80" w:line="280"/>
      </w:pPr>
      <w:r>
        <w:rPr>
          <w:rFonts w:ascii="Calibri" w:cs="Calibri" w:eastAsia="Calibri" w:hAnsi="Calibri"/>
          <w:color w:val="334155"/>
          <w:sz w:val="22"/>
          <w:szCs w:val="22"/>
        </w:rPr>
        <w:t xml:space="preserve">Lorsqu'une demande implique plusieurs sites, le moteur crée automatiquement des sous-dossiers enfants indépendants rattachés au dossier parent. Le dossier parent n'atteint le statut final "Approuvé" que lorsque tous les sites enfants ont validé leur étape.</w:t>
      </w:r>
    </w:p>
    <w:p>
      <w:pPr>
        <w:pStyle w:val="Heading2"/>
        <w:spacing w:after="120" w:before="240"/>
      </w:pPr>
      <w:r>
        <w:rPr>
          <w:rFonts w:ascii="Calibri" w:cs="Calibri" w:eastAsia="Calibri" w:hAnsi="Calibri"/>
          <w:b/>
          <w:bCs/>
          <w:color w:val="0F172A"/>
          <w:sz w:val="26"/>
          <w:szCs w:val="26"/>
        </w:rPr>
        <w:t xml:space="preserve">4.2 Moteur de Règles Métier Zero-Code</w:t>
      </w:r>
    </w:p>
    <w:p>
      <w:pPr>
        <w:spacing w:after="80" w:before="80" w:line="280"/>
      </w:pPr>
      <w:r>
        <w:rPr>
          <w:rFonts w:ascii="Calibri" w:cs="Calibri" w:eastAsia="Calibri" w:hAnsi="Calibri"/>
          <w:color w:val="334155"/>
          <w:sz w:val="22"/>
          <w:szCs w:val="22"/>
        </w:rPr>
        <w:t xml:space="preserve">Permet aux administrateurs de définir des automatisations sans écrire une ligne de code :</w:t>
      </w:r>
    </w:p>
    <w:p>
      <w:pPr>
        <w:pStyle w:val="ListParagraph"/>
        <w:numPr>
          <w:ilvl w:val="0"/>
          <w:numId w:val="1"/>
        </w:numPr>
        <w:spacing w:after="40" w:before="40" w:line="260"/>
      </w:pPr>
      <w:r>
        <w:rPr>
          <w:rFonts w:ascii="Calibri" w:cs="Calibri" w:eastAsia="Calibri" w:hAnsi="Calibri"/>
          <w:b/>
          <w:bCs/>
          <w:color w:val="0F172A"/>
          <w:sz w:val="22"/>
          <w:szCs w:val="22"/>
        </w:rPr>
        <w:t xml:space="preserve">• Événements Déclencheurs : </w:t>
      </w:r>
      <w:r>
        <w:rPr>
          <w:rFonts w:ascii="Calibri" w:cs="Calibri" w:eastAsia="Calibri" w:hAnsi="Calibri"/>
          <w:color w:val="334155"/>
          <w:sz w:val="22"/>
          <w:szCs w:val="22"/>
        </w:rPr>
        <w:t xml:space="preserve">ON_SUBMIT, ON_STATUS_CHANGE, ON_APPROVE, ON_REJECT.</w:t>
      </w:r>
    </w:p>
    <w:p>
      <w:pPr>
        <w:pStyle w:val="ListParagraph"/>
        <w:numPr>
          <w:ilvl w:val="0"/>
          <w:numId w:val="1"/>
        </w:numPr>
        <w:spacing w:after="40" w:before="40" w:line="260"/>
      </w:pPr>
      <w:r>
        <w:rPr>
          <w:rFonts w:ascii="Calibri" w:cs="Calibri" w:eastAsia="Calibri" w:hAnsi="Calibri"/>
          <w:b/>
          <w:bCs/>
          <w:color w:val="0F172A"/>
          <w:sz w:val="22"/>
          <w:szCs w:val="22"/>
        </w:rPr>
        <w:t xml:space="preserve">• Opérateurs : </w:t>
      </w:r>
      <w:r>
        <w:rPr>
          <w:rFonts w:ascii="Calibri" w:cs="Calibri" w:eastAsia="Calibri" w:hAnsi="Calibri"/>
          <w:color w:val="334155"/>
          <w:sz w:val="22"/>
          <w:szCs w:val="22"/>
        </w:rPr>
        <w:t xml:space="preserve">equals, not_equals, contains, greater_than, less_than, in_list, is_empty.</w:t>
      </w:r>
    </w:p>
    <w:p>
      <w:pPr>
        <w:pStyle w:val="ListParagraph"/>
        <w:numPr>
          <w:ilvl w:val="0"/>
          <w:numId w:val="1"/>
        </w:numPr>
        <w:spacing w:after="40" w:before="40" w:line="260"/>
      </w:pPr>
      <w:r>
        <w:rPr>
          <w:rFonts w:ascii="Calibri" w:cs="Calibri" w:eastAsia="Calibri" w:hAnsi="Calibri"/>
          <w:b/>
          <w:bCs/>
          <w:color w:val="0F172A"/>
          <w:sz w:val="22"/>
          <w:szCs w:val="22"/>
        </w:rPr>
        <w:t xml:space="preserve">• Actions Automatisées : </w:t>
      </w:r>
      <w:r>
        <w:rPr>
          <w:rFonts w:ascii="Calibri" w:cs="Calibri" w:eastAsia="Calibri" w:hAnsi="Calibri"/>
          <w:color w:val="334155"/>
          <w:sz w:val="22"/>
          <w:szCs w:val="22"/>
        </w:rPr>
        <w:t xml:space="preserve">Routage vers un validateur spécifique, refus automatique si pièce manquante, calcul de pénalité, alerte email.</w:t>
      </w:r>
    </w:p>
    <w:p>
      <w:pPr>
        <w:pStyle w:val="ListParagraph"/>
        <w:numPr>
          <w:ilvl w:val="0"/>
          <w:numId w:val="1"/>
        </w:numPr>
        <w:spacing w:after="40" w:before="40" w:line="260"/>
      </w:pPr>
      <w:r>
        <w:rPr>
          <w:rFonts w:ascii="Calibri" w:cs="Calibri" w:eastAsia="Calibri" w:hAnsi="Calibri"/>
          <w:b/>
          <w:bCs/>
          <w:color w:val="0F172A"/>
          <w:sz w:val="22"/>
          <w:szCs w:val="22"/>
        </w:rPr>
        <w:t xml:space="preserve">• Bac à Sable : </w:t>
      </w:r>
      <w:r>
        <w:rPr>
          <w:rFonts w:ascii="Calibri" w:cs="Calibri" w:eastAsia="Calibri" w:hAnsi="Calibri"/>
          <w:color w:val="334155"/>
          <w:sz w:val="22"/>
          <w:szCs w:val="22"/>
        </w:rPr>
        <w:t xml:space="preserve">Environnement de simulation interactif permettant d'injecter des données de test avant activation.</w:t>
      </w:r>
    </w:p>
    <w:p>
      <w:pPr>
        <w:pStyle w:val="Heading2"/>
        <w:spacing w:after="120" w:before="240"/>
      </w:pPr>
      <w:r>
        <w:rPr>
          <w:rFonts w:ascii="Calibri" w:cs="Calibri" w:eastAsia="Calibri" w:hAnsi="Calibri"/>
          <w:b/>
          <w:bCs/>
          <w:color w:val="0F172A"/>
          <w:sz w:val="26"/>
          <w:szCs w:val="26"/>
        </w:rPr>
        <w:t xml:space="preserve">4.3 Moteur d'Affectation Dynamique &amp; Champs Conditionnels</w:t>
      </w:r>
    </w:p>
    <w:p>
      <w:pPr>
        <w:pStyle w:val="ListParagraph"/>
        <w:numPr>
          <w:ilvl w:val="0"/>
          <w:numId w:val="1"/>
        </w:numPr>
        <w:spacing w:after="40" w:before="40" w:line="260"/>
      </w:pPr>
      <w:r>
        <w:rPr>
          <w:rFonts w:ascii="Calibri" w:cs="Calibri" w:eastAsia="Calibri" w:hAnsi="Calibri"/>
          <w:b/>
          <w:bCs/>
          <w:color w:val="0F172A"/>
          <w:sz w:val="22"/>
          <w:szCs w:val="22"/>
        </w:rPr>
        <w:t xml:space="preserve">• Affectation Dynamique (US 3.1) : </w:t>
      </w:r>
      <w:r>
        <w:rPr>
          <w:rFonts w:ascii="Calibri" w:cs="Calibri" w:eastAsia="Calibri" w:hAnsi="Calibri"/>
          <w:color w:val="334155"/>
          <w:sz w:val="22"/>
          <w:szCs w:val="22"/>
        </w:rPr>
        <w:t xml:space="preserve">Détermine les validateurs requis selon les caractéristiques du site (niveau de sécurité Seveso, zone ferroviaire, haute tension).</w:t>
      </w:r>
    </w:p>
    <w:p>
      <w:pPr>
        <w:pStyle w:val="ListParagraph"/>
        <w:numPr>
          <w:ilvl w:val="0"/>
          <w:numId w:val="1"/>
        </w:numPr>
        <w:spacing w:after="40" w:before="40" w:line="260"/>
      </w:pPr>
      <w:r>
        <w:rPr>
          <w:rFonts w:ascii="Calibri" w:cs="Calibri" w:eastAsia="Calibri" w:hAnsi="Calibri"/>
          <w:b/>
          <w:bCs/>
          <w:color w:val="0F172A"/>
          <w:sz w:val="22"/>
          <w:szCs w:val="22"/>
        </w:rPr>
        <w:t xml:space="preserve">• Champs Conditionnels (US 3.2) : </w:t>
      </w:r>
      <w:r>
        <w:rPr>
          <w:rFonts w:ascii="Calibri" w:cs="Calibri" w:eastAsia="Calibri" w:hAnsi="Calibri"/>
          <w:color w:val="334155"/>
          <w:sz w:val="22"/>
          <w:szCs w:val="22"/>
        </w:rPr>
        <w:t xml:space="preserve">Affiche ou masque des champs du formulaire selon les choix précédents de l'agent.</w:t>
      </w:r>
    </w:p>
    <w:p>
      <w:pPr>
        <w:spacing w:after="120" w:before="240"/>
      </w:pPr>
    </w:p>
    <w:p>
      <w:pPr>
        <w:pStyle w:val="Heading1"/>
        <w:spacing w:after="180" w:before="360"/>
      </w:pPr>
      <w:r>
        <w:rPr>
          <w:rFonts w:ascii="Calibri" w:cs="Calibri" w:eastAsia="Calibri" w:hAnsi="Calibri"/>
          <w:b/>
          <w:bCs/>
          <w:color w:val="002395"/>
          <w:sz w:val="32"/>
          <w:szCs w:val="32"/>
        </w:rPr>
        <w:t xml:space="preserve">5. Espace Administrateur &amp; Studio Graphique</w:t>
      </w:r>
    </w:p>
    <w:p>
      <w:pPr>
        <w:spacing w:after="80" w:before="80" w:line="280"/>
      </w:pPr>
      <w:r>
        <w:rPr>
          <w:rFonts w:ascii="Calibri" w:cs="Calibri" w:eastAsia="Calibri" w:hAnsi="Calibri"/>
          <w:color w:val="334155"/>
          <w:sz w:val="22"/>
          <w:szCs w:val="22"/>
        </w:rPr>
        <w:t xml:space="preserve">L'Espace Administrateur (/admin) regroupe l'ensemble des fonctions de gouvernance transversale :</w:t>
      </w:r>
    </w:p>
    <w:p>
      <w:pPr>
        <w:pStyle w:val="ListParagraph"/>
        <w:numPr>
          <w:ilvl w:val="0"/>
          <w:numId w:val="1"/>
        </w:numPr>
        <w:spacing w:after="40" w:before="40" w:line="260"/>
      </w:pPr>
      <w:r>
        <w:rPr>
          <w:rFonts w:ascii="Calibri" w:cs="Calibri" w:eastAsia="Calibri" w:hAnsi="Calibri"/>
          <w:b/>
          <w:bCs/>
          <w:color w:val="0F172A"/>
          <w:sz w:val="22"/>
          <w:szCs w:val="22"/>
        </w:rPr>
        <w:t xml:space="preserve">• Workflow Studio : </w:t>
      </w:r>
      <w:r>
        <w:rPr>
          <w:rFonts w:ascii="Calibri" w:cs="Calibri" w:eastAsia="Calibri" w:hAnsi="Calibri"/>
          <w:color w:val="334155"/>
          <w:sz w:val="22"/>
          <w:szCs w:val="22"/>
        </w:rPr>
        <w:t xml:space="preserve">Studio graphique drag-and-drop pour orchestrer visuellement les étapes de validation et les délais SLA.</w:t>
      </w:r>
    </w:p>
    <w:p>
      <w:pPr>
        <w:pStyle w:val="ListParagraph"/>
        <w:numPr>
          <w:ilvl w:val="0"/>
          <w:numId w:val="1"/>
        </w:numPr>
        <w:spacing w:after="40" w:before="40" w:line="260"/>
      </w:pPr>
      <w:r>
        <w:rPr>
          <w:rFonts w:ascii="Calibri" w:cs="Calibri" w:eastAsia="Calibri" w:hAnsi="Calibri"/>
          <w:b/>
          <w:bCs/>
          <w:color w:val="0F172A"/>
          <w:sz w:val="22"/>
          <w:szCs w:val="22"/>
        </w:rPr>
        <w:t xml:space="preserve">• Formulaires Dynamiques : </w:t>
      </w:r>
      <w:r>
        <w:rPr>
          <w:rFonts w:ascii="Calibri" w:cs="Calibri" w:eastAsia="Calibri" w:hAnsi="Calibri"/>
          <w:color w:val="334155"/>
          <w:sz w:val="22"/>
          <w:szCs w:val="22"/>
        </w:rPr>
        <w:t xml:space="preserve">Création libre de formulaires et champs personnalisés rattachés aux processus.</w:t>
      </w:r>
    </w:p>
    <w:p>
      <w:pPr>
        <w:pStyle w:val="ListParagraph"/>
        <w:numPr>
          <w:ilvl w:val="0"/>
          <w:numId w:val="1"/>
        </w:numPr>
        <w:spacing w:after="40" w:before="40" w:line="260"/>
      </w:pPr>
      <w:r>
        <w:rPr>
          <w:rFonts w:ascii="Calibri" w:cs="Calibri" w:eastAsia="Calibri" w:hAnsi="Calibri"/>
          <w:b/>
          <w:bCs/>
          <w:color w:val="0F172A"/>
          <w:sz w:val="22"/>
          <w:szCs w:val="22"/>
        </w:rPr>
        <w:t xml:space="preserve">• Tables de Référence : </w:t>
      </w:r>
      <w:r>
        <w:rPr>
          <w:rFonts w:ascii="Calibri" w:cs="Calibri" w:eastAsia="Calibri" w:hAnsi="Calibri"/>
          <w:color w:val="334155"/>
          <w:sz w:val="22"/>
          <w:szCs w:val="22"/>
        </w:rPr>
        <w:t xml:space="preserve">Gestion dynamique des listes de référence (Sites, Régions, Équipements) avec création de colonnes à la volée et import CSV.</w:t>
      </w:r>
    </w:p>
    <w:p>
      <w:pPr>
        <w:pStyle w:val="ListParagraph"/>
        <w:numPr>
          <w:ilvl w:val="0"/>
          <w:numId w:val="1"/>
        </w:numPr>
        <w:spacing w:after="40" w:before="40" w:line="260"/>
      </w:pPr>
      <w:r>
        <w:rPr>
          <w:rFonts w:ascii="Calibri" w:cs="Calibri" w:eastAsia="Calibri" w:hAnsi="Calibri"/>
          <w:b/>
          <w:bCs/>
          <w:color w:val="0F172A"/>
          <w:sz w:val="22"/>
          <w:szCs w:val="22"/>
        </w:rPr>
        <w:t xml:space="preserve">• Configurateur de Statuts : </w:t>
      </w:r>
      <w:r>
        <w:rPr>
          <w:rFonts w:ascii="Calibri" w:cs="Calibri" w:eastAsia="Calibri" w:hAnsi="Calibri"/>
          <w:color w:val="334155"/>
          <w:sz w:val="22"/>
          <w:szCs w:val="22"/>
        </w:rPr>
        <w:t xml:space="preserve">Création de statuts personnalisés, choix des couleurs de badges et matrice des transitions d'états.</w:t>
      </w:r>
    </w:p>
    <w:p>
      <w:pPr>
        <w:pStyle w:val="ListParagraph"/>
        <w:numPr>
          <w:ilvl w:val="0"/>
          <w:numId w:val="1"/>
        </w:numPr>
        <w:spacing w:after="40" w:before="40" w:line="260"/>
      </w:pPr>
      <w:r>
        <w:rPr>
          <w:rFonts w:ascii="Calibri" w:cs="Calibri" w:eastAsia="Calibri" w:hAnsi="Calibri"/>
          <w:b/>
          <w:bCs/>
          <w:color w:val="0F172A"/>
          <w:sz w:val="22"/>
          <w:szCs w:val="22"/>
        </w:rPr>
        <w:t xml:space="preserve">• Simulateur de Rôles : </w:t>
      </w:r>
      <w:r>
        <w:rPr>
          <w:rFonts w:ascii="Calibri" w:cs="Calibri" w:eastAsia="Calibri" w:hAnsi="Calibri"/>
          <w:color w:val="334155"/>
          <w:sz w:val="22"/>
          <w:szCs w:val="22"/>
        </w:rPr>
        <w:t xml:space="preserve">Simulateur de rôles pour prévisualiser l'interface telle que perçue par un utilisateur donné.</w:t>
      </w:r>
    </w:p>
    <w:p>
      <w:pPr>
        <w:spacing w:after="120" w:before="240"/>
      </w:pPr>
    </w:p>
    <w:p>
      <w:pPr>
        <w:pStyle w:val="Heading1"/>
        <w:spacing w:after="180" w:before="360"/>
      </w:pPr>
      <w:r>
        <w:rPr>
          <w:rFonts w:ascii="Calibri" w:cs="Calibri" w:eastAsia="Calibri" w:hAnsi="Calibri"/>
          <w:b/>
          <w:bCs/>
          <w:color w:val="002395"/>
          <w:sz w:val="32"/>
          <w:szCs w:val="32"/>
        </w:rPr>
        <w:t xml:space="preserve">6. Sécurité, Conformité NIS 2 &amp; Gestion des Identités</w:t>
      </w:r>
    </w:p>
    <w:p>
      <w:pPr>
        <w:pStyle w:val="Heading2"/>
        <w:spacing w:after="120" w:before="240"/>
      </w:pPr>
      <w:r>
        <w:rPr>
          <w:rFonts w:ascii="Calibri" w:cs="Calibri" w:eastAsia="Calibri" w:hAnsi="Calibri"/>
          <w:b/>
          <w:bCs/>
          <w:color w:val="0F172A"/>
          <w:sz w:val="26"/>
          <w:szCs w:val="26"/>
        </w:rPr>
        <w:t xml:space="preserve">6.1 Politique de Sécurité des Mots de Passe</w:t>
      </w:r>
    </w:p>
    <w:p>
      <w:pPr>
        <w:spacing w:after="80" w:before="80" w:line="280"/>
      </w:pPr>
      <w:r>
        <w:rPr>
          <w:rFonts w:ascii="Calibri" w:cs="Calibri" w:eastAsia="Calibri" w:hAnsi="Calibri"/>
          <w:color w:val="334155"/>
          <w:sz w:val="22"/>
          <w:szCs w:val="22"/>
        </w:rPr>
        <w:t xml:space="preserve">La politique de sécurité dynamique (password_access_policy) impose des règles strictes :</w:t>
      </w:r>
    </w:p>
    <w:p>
      <w:pPr>
        <w:pStyle w:val="ListParagraph"/>
        <w:numPr>
          <w:ilvl w:val="0"/>
          <w:numId w:val="1"/>
        </w:numPr>
        <w:spacing w:after="40" w:before="40" w:line="260"/>
      </w:pPr>
      <w:r>
        <w:rPr>
          <w:rFonts w:ascii="Calibri" w:cs="Calibri" w:eastAsia="Calibri" w:hAnsi="Calibri"/>
          <w:b/>
          <w:bCs/>
          <w:color w:val="0F172A"/>
          <w:sz w:val="22"/>
          <w:szCs w:val="22"/>
        </w:rPr>
        <w:t xml:space="preserve">• Complexité : </w:t>
      </w:r>
      <w:r>
        <w:rPr>
          <w:rFonts w:ascii="Calibri" w:cs="Calibri" w:eastAsia="Calibri" w:hAnsi="Calibri"/>
          <w:color w:val="334155"/>
          <w:sz w:val="22"/>
          <w:szCs w:val="22"/>
        </w:rPr>
        <w:t xml:space="preserve">Minimum 8 caractères, majuscule, minuscule, chiffre et caractère spécial obligatoires.</w:t>
      </w:r>
    </w:p>
    <w:p>
      <w:pPr>
        <w:pStyle w:val="ListParagraph"/>
        <w:numPr>
          <w:ilvl w:val="0"/>
          <w:numId w:val="1"/>
        </w:numPr>
        <w:spacing w:after="40" w:before="40" w:line="260"/>
      </w:pPr>
      <w:r>
        <w:rPr>
          <w:rFonts w:ascii="Calibri" w:cs="Calibri" w:eastAsia="Calibri" w:hAnsi="Calibri"/>
          <w:b/>
          <w:bCs/>
          <w:color w:val="0F172A"/>
          <w:sz w:val="22"/>
          <w:szCs w:val="22"/>
        </w:rPr>
        <w:t xml:space="preserve">• Historique : </w:t>
      </w:r>
      <w:r>
        <w:rPr>
          <w:rFonts w:ascii="Calibri" w:cs="Calibri" w:eastAsia="Calibri" w:hAnsi="Calibri"/>
          <w:color w:val="334155"/>
          <w:sz w:val="22"/>
          <w:szCs w:val="22"/>
        </w:rPr>
        <w:t xml:space="preserve">Interdiction de réutiliser le mot de passe actuel lors d'un changement.</w:t>
      </w:r>
    </w:p>
    <w:p>
      <w:pPr>
        <w:pStyle w:val="ListParagraph"/>
        <w:numPr>
          <w:ilvl w:val="0"/>
          <w:numId w:val="1"/>
        </w:numPr>
        <w:spacing w:after="40" w:before="40" w:line="260"/>
      </w:pPr>
      <w:r>
        <w:rPr>
          <w:rFonts w:ascii="Calibri" w:cs="Calibri" w:eastAsia="Calibri" w:hAnsi="Calibri"/>
          <w:b/>
          <w:bCs/>
          <w:color w:val="0F172A"/>
          <w:sz w:val="22"/>
          <w:szCs w:val="22"/>
        </w:rPr>
        <w:t xml:space="preserve">• Anti-Brute Force : </w:t>
      </w:r>
      <w:r>
        <w:rPr>
          <w:rFonts w:ascii="Calibri" w:cs="Calibri" w:eastAsia="Calibri" w:hAnsi="Calibri"/>
          <w:color w:val="334155"/>
          <w:sz w:val="22"/>
          <w:szCs w:val="22"/>
        </w:rPr>
        <w:t xml:space="preserve">Limitation à 5 tentatives infructueuses par IP avec blocage temporaire (express-rate-limit).</w:t>
      </w:r>
    </w:p>
    <w:p>
      <w:pPr>
        <w:pStyle w:val="Heading2"/>
        <w:spacing w:after="120" w:before="240"/>
      </w:pPr>
      <w:r>
        <w:rPr>
          <w:rFonts w:ascii="Calibri" w:cs="Calibri" w:eastAsia="Calibri" w:hAnsi="Calibri"/>
          <w:b/>
          <w:bCs/>
          <w:color w:val="0F172A"/>
          <w:sz w:val="26"/>
          <w:szCs w:val="26"/>
        </w:rPr>
        <w:t xml:space="preserve">6.2 Récupération de Mot de Passe Sécurisée par Email</w:t>
      </w:r>
    </w:p>
    <w:p>
      <w:pPr>
        <w:spacing w:after="80" w:before="80" w:line="280"/>
      </w:pPr>
      <w:r>
        <w:rPr>
          <w:rFonts w:ascii="Calibri" w:cs="Calibri" w:eastAsia="Calibri" w:hAnsi="Calibri"/>
          <w:color w:val="334155"/>
          <w:sz w:val="22"/>
          <w:szCs w:val="22"/>
        </w:rPr>
        <w:t xml:space="preserve">Le module de récupération par email garantit une sécurité maximale conforme aux standards bancaires et NIS 2 :</w:t>
      </w:r>
    </w:p>
    <w:p>
      <w:pPr>
        <w:pStyle w:val="ListParagraph"/>
        <w:numPr>
          <w:ilvl w:val="0"/>
          <w:numId w:val="1"/>
        </w:numPr>
        <w:spacing w:after="40" w:before="40" w:line="260"/>
      </w:pPr>
      <w:r>
        <w:rPr>
          <w:rFonts w:ascii="Calibri" w:cs="Calibri" w:eastAsia="Calibri" w:hAnsi="Calibri"/>
          <w:b/>
          <w:bCs/>
          <w:color w:val="0F172A"/>
          <w:sz w:val="22"/>
          <w:szCs w:val="22"/>
        </w:rPr>
        <w:t xml:space="preserve">• Anti-Énumération : </w:t>
      </w:r>
      <w:r>
        <w:rPr>
          <w:rFonts w:ascii="Calibri" w:cs="Calibri" w:eastAsia="Calibri" w:hAnsi="Calibri"/>
          <w:color w:val="334155"/>
          <w:sz w:val="22"/>
          <w:szCs w:val="22"/>
        </w:rPr>
        <w:t xml:space="preserve">L'API renvoie toujours un message de confirmation neutre pour empêcher l'énumération des comptes existants.</w:t>
      </w:r>
    </w:p>
    <w:p>
      <w:pPr>
        <w:pStyle w:val="ListParagraph"/>
        <w:numPr>
          <w:ilvl w:val="0"/>
          <w:numId w:val="1"/>
        </w:numPr>
        <w:spacing w:after="40" w:before="40" w:line="260"/>
      </w:pPr>
      <w:r>
        <w:rPr>
          <w:rFonts w:ascii="Calibri" w:cs="Calibri" w:eastAsia="Calibri" w:hAnsi="Calibri"/>
          <w:b/>
          <w:bCs/>
          <w:color w:val="0F172A"/>
          <w:sz w:val="22"/>
          <w:szCs w:val="22"/>
        </w:rPr>
        <w:t xml:space="preserve">• Empreinte SHA-256 : </w:t>
      </w:r>
      <w:r>
        <w:rPr>
          <w:rFonts w:ascii="Calibri" w:cs="Calibri" w:eastAsia="Calibri" w:hAnsi="Calibri"/>
          <w:color w:val="334155"/>
          <w:sz w:val="22"/>
          <w:szCs w:val="22"/>
        </w:rPr>
        <w:t xml:space="preserve">Jeton de 32 octets aléatoires généré cryptographiquement. Seule l'empreinte SHA-256 est persistée en base.</w:t>
      </w:r>
    </w:p>
    <w:p>
      <w:pPr>
        <w:pStyle w:val="ListParagraph"/>
        <w:numPr>
          <w:ilvl w:val="0"/>
          <w:numId w:val="1"/>
        </w:numPr>
        <w:spacing w:after="40" w:before="40" w:line="260"/>
      </w:pPr>
      <w:r>
        <w:rPr>
          <w:rFonts w:ascii="Calibri" w:cs="Calibri" w:eastAsia="Calibri" w:hAnsi="Calibri"/>
          <w:b/>
          <w:bCs/>
          <w:color w:val="0F172A"/>
          <w:sz w:val="22"/>
          <w:szCs w:val="22"/>
        </w:rPr>
        <w:t xml:space="preserve">• Usage Unique : </w:t>
      </w:r>
      <w:r>
        <w:rPr>
          <w:rFonts w:ascii="Calibri" w:cs="Calibri" w:eastAsia="Calibri" w:hAnsi="Calibri"/>
          <w:color w:val="334155"/>
          <w:sz w:val="22"/>
          <w:szCs w:val="22"/>
        </w:rPr>
        <w:t xml:space="preserve">Validité limitée à 1 heure, invalidation des anciens jetons et destruction immédiate dès la première utilisation.</w:t>
      </w:r>
    </w:p>
    <w:p>
      <w:pPr>
        <w:pStyle w:val="ListParagraph"/>
        <w:numPr>
          <w:ilvl w:val="0"/>
          <w:numId w:val="1"/>
        </w:numPr>
        <w:spacing w:after="40" w:before="40" w:line="260"/>
      </w:pPr>
      <w:r>
        <w:rPr>
          <w:rFonts w:ascii="Calibri" w:cs="Calibri" w:eastAsia="Calibri" w:hAnsi="Calibri"/>
          <w:b/>
          <w:bCs/>
          <w:color w:val="0F172A"/>
          <w:sz w:val="22"/>
          <w:szCs w:val="22"/>
        </w:rPr>
        <w:t xml:space="preserve">• Interface Utilisateur : </w:t>
      </w:r>
      <w:r>
        <w:rPr>
          <w:rFonts w:ascii="Calibri" w:cs="Calibri" w:eastAsia="Calibri" w:hAnsi="Calibri"/>
          <w:color w:val="334155"/>
          <w:sz w:val="22"/>
          <w:szCs w:val="22"/>
        </w:rPr>
        <w:t xml:space="preserve">Page dédiée (/reset-password) avec jauge dynamique de robustesse et checklist interactive des critères.</w:t>
      </w:r>
    </w:p>
    <w:p>
      <w:pPr>
        <w:pStyle w:val="Heading2"/>
        <w:spacing w:after="120" w:before="240"/>
      </w:pPr>
      <w:r>
        <w:rPr>
          <w:rFonts w:ascii="Calibri" w:cs="Calibri" w:eastAsia="Calibri" w:hAnsi="Calibri"/>
          <w:b/>
          <w:bCs/>
          <w:color w:val="0F172A"/>
          <w:sz w:val="26"/>
          <w:szCs w:val="26"/>
        </w:rPr>
        <w:t xml:space="preserve">6.3 Journal d'Audit &amp; Conformité RGPD</w:t>
      </w:r>
    </w:p>
    <w:p>
      <w:pPr>
        <w:pStyle w:val="ListParagraph"/>
        <w:numPr>
          <w:ilvl w:val="0"/>
          <w:numId w:val="1"/>
        </w:numPr>
        <w:spacing w:after="40" w:before="40" w:line="260"/>
      </w:pPr>
      <w:r>
        <w:rPr>
          <w:rFonts w:ascii="Calibri" w:cs="Calibri" w:eastAsia="Calibri" w:hAnsi="Calibri"/>
          <w:b/>
          <w:bCs/>
          <w:color w:val="0F172A"/>
          <w:sz w:val="22"/>
          <w:szCs w:val="22"/>
        </w:rPr>
        <w:t xml:space="preserve">• Journal Syslog : </w:t>
      </w:r>
      <w:r>
        <w:rPr>
          <w:rFonts w:ascii="Calibri" w:cs="Calibri" w:eastAsia="Calibri" w:hAnsi="Calibri"/>
          <w:color w:val="334155"/>
          <w:sz w:val="22"/>
          <w:szCs w:val="22"/>
        </w:rPr>
        <w:t xml:space="preserve">Chaque action système est inscrite dans la table audit_logs de façon inaltérable avec acteur, rôle, cible et horodatage ISO.</w:t>
      </w:r>
    </w:p>
    <w:p>
      <w:pPr>
        <w:pStyle w:val="ListParagraph"/>
        <w:numPr>
          <w:ilvl w:val="0"/>
          <w:numId w:val="1"/>
        </w:numPr>
        <w:spacing w:after="40" w:before="40" w:line="260"/>
      </w:pPr>
      <w:r>
        <w:rPr>
          <w:rFonts w:ascii="Calibri" w:cs="Calibri" w:eastAsia="Calibri" w:hAnsi="Calibri"/>
          <w:b/>
          <w:bCs/>
          <w:color w:val="0F172A"/>
          <w:sz w:val="22"/>
          <w:szCs w:val="22"/>
        </w:rPr>
        <w:t xml:space="preserve">• Rétention RGPD : </w:t>
      </w:r>
      <w:r>
        <w:rPr>
          <w:rFonts w:ascii="Calibri" w:cs="Calibri" w:eastAsia="Calibri" w:hAnsi="Calibri"/>
          <w:color w:val="334155"/>
          <w:sz w:val="22"/>
          <w:szCs w:val="22"/>
        </w:rPr>
        <w:t xml:space="preserve">Purge ou anonymisation programmée des demandes obsolètes selon les règles de conservation.</w:t>
      </w:r>
    </w:p>
    <w:p>
      <w:pPr>
        <w:spacing w:after="120" w:before="240"/>
      </w:pPr>
    </w:p>
    <w:p>
      <w:pPr>
        <w:pStyle w:val="Heading1"/>
        <w:spacing w:after="180" w:before="360"/>
      </w:pPr>
      <w:r>
        <w:rPr>
          <w:rFonts w:ascii="Calibri" w:cs="Calibri" w:eastAsia="Calibri" w:hAnsi="Calibri"/>
          <w:b/>
          <w:bCs/>
          <w:color w:val="002395"/>
          <w:sz w:val="32"/>
          <w:szCs w:val="32"/>
        </w:rPr>
        <w:t xml:space="preserve">7. Guide d'Exploitation &amp; Déploiement</w:t>
      </w:r>
    </w:p>
    <w:p>
      <w:pPr>
        <w:spacing w:after="80" w:before="80" w:line="280"/>
      </w:pPr>
      <w:r>
        <w:rPr>
          <w:rFonts w:ascii="Calibri" w:cs="Calibri" w:eastAsia="Calibri" w:hAnsi="Calibri"/>
          <w:color w:val="334155"/>
          <w:sz w:val="22"/>
          <w:szCs w:val="22"/>
        </w:rPr>
        <w:t xml:space="preserve">Commandes principales pour l'administration et le déploiement de la solution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pct" w:w="1750"/>
            <w:tcBorders>
              <w:top w:val="single" w:color="E2E8F0" w:sz="1"/>
              <w:left w:val="single" w:color="E2E8F0" w:sz="1"/>
              <w:bottom w:val="single" w:color="E2E8F0" w:sz="1"/>
              <w:right w:val="single" w:color="E2E8F0" w:sz="1"/>
            </w:tcBorders>
            <w:shd w:fill="002395" w:val="clear"/>
            <w:tcMar>
              <w:top w:type="dxa" w:w="120"/>
              <w:left w:type="dxa" w:w="140"/>
              <w:bottom w:type="dxa" w:w="120"/>
              <w:right w:type="dxa" w:w="140"/>
            </w:tcMar>
          </w:tcPr>
          <w:p>
            <w:r>
              <w:rPr>
                <w:rFonts w:ascii="Calibri" w:cs="Calibri" w:eastAsia="Calibri" w:hAnsi="Calibri"/>
                <w:b/>
                <w:bCs/>
                <w:color w:val="FFFFFF"/>
                <w:sz w:val="20"/>
                <w:szCs w:val="20"/>
              </w:rPr>
              <w:t xml:space="preserve">Commande Shell</w:t>
            </w:r>
          </w:p>
        </w:tc>
        <w:tc>
          <w:tcPr>
            <w:tcW w:type="pct" w:w="3250"/>
            <w:tcBorders>
              <w:top w:val="single" w:color="E2E8F0" w:sz="1"/>
              <w:left w:val="single" w:color="E2E8F0" w:sz="1"/>
              <w:bottom w:val="single" w:color="E2E8F0" w:sz="1"/>
              <w:right w:val="single" w:color="E2E8F0" w:sz="1"/>
            </w:tcBorders>
            <w:shd w:fill="002395" w:val="clear"/>
            <w:tcMar>
              <w:top w:type="dxa" w:w="120"/>
              <w:left w:type="dxa" w:w="140"/>
              <w:bottom w:type="dxa" w:w="120"/>
              <w:right w:type="dxa" w:w="140"/>
            </w:tcMar>
          </w:tcPr>
          <w:p>
            <w:r>
              <w:rPr>
                <w:rFonts w:ascii="Calibri" w:cs="Calibri" w:eastAsia="Calibri" w:hAnsi="Calibri"/>
                <w:b/>
                <w:bCs/>
                <w:color w:val="FFFFFF"/>
                <w:sz w:val="20"/>
                <w:szCs w:val="20"/>
              </w:rPr>
              <w:t xml:space="preserve">Description &amp; Rôle Opérationnel</w:t>
            </w:r>
          </w:p>
        </w:tc>
      </w:tr>
      <w:tr>
        <w:tc>
          <w:tcPr>
            <w:tcW w:type="pct" w:w="17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npm run dev</w:t>
            </w:r>
          </w:p>
        </w:tc>
        <w:tc>
          <w:tcPr>
            <w:tcW w:type="pct" w:w="32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Démarre le serveur complet en mode développement (Vite HMR + Express).</w:t>
            </w:r>
          </w:p>
        </w:tc>
      </w:tr>
      <w:tr>
        <w:tc>
          <w:tcPr>
            <w:tcW w:type="pct" w:w="17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npm test</w:t>
            </w:r>
          </w:p>
        </w:tc>
        <w:tc>
          <w:tcPr>
            <w:tcW w:type="pct" w:w="32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Lance l'intégralité des 140 tests unitaires et d'intégration (Vitest).</w:t>
            </w:r>
          </w:p>
        </w:tc>
      </w:tr>
      <w:tr>
        <w:tc>
          <w:tcPr>
            <w:tcW w:type="pct" w:w="17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npm run test:e2e</w:t>
            </w:r>
          </w:p>
        </w:tc>
        <w:tc>
          <w:tcPr>
            <w:tcW w:type="pct" w:w="32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Exécute les 13 scénarios de tests navigateurs de bout en bout (Playwright).</w:t>
            </w:r>
          </w:p>
        </w:tc>
      </w:tr>
      <w:tr>
        <w:tc>
          <w:tcPr>
            <w:tcW w:type="pct" w:w="17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npm run lint</w:t>
            </w:r>
          </w:p>
        </w:tc>
        <w:tc>
          <w:tcPr>
            <w:tcW w:type="pct" w:w="32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Vérifie l'absence d'erreurs de typage statique TypeScript (tsc --noEmit).</w:t>
            </w:r>
          </w:p>
        </w:tc>
      </w:tr>
      <w:tr>
        <w:tc>
          <w:tcPr>
            <w:tcW w:type="pct" w:w="17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npm run build</w:t>
            </w:r>
          </w:p>
        </w:tc>
        <w:tc>
          <w:tcPr>
            <w:tcW w:type="pct" w:w="32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334155"/>
                <w:sz w:val="20"/>
                <w:szCs w:val="20"/>
              </w:rPr>
              <w:t xml:space="preserve">Compile les assets frontend et génère le bundle serveur dist/server.cjs.</w:t>
            </w:r>
          </w:p>
        </w:tc>
      </w:tr>
      <w:tr>
        <w:tc>
          <w:tcPr>
            <w:tcW w:type="pct" w:w="17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npm start</w:t>
            </w:r>
          </w:p>
        </w:tc>
        <w:tc>
          <w:tcPr>
            <w:tcW w:type="pct" w:w="32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334155"/>
                <w:sz w:val="20"/>
                <w:szCs w:val="20"/>
              </w:rPr>
              <w:t xml:space="preserve">Démarre l'application en mode production haute performance.</w:t>
            </w:r>
          </w:p>
        </w:tc>
      </w:tr>
    </w:tbl>
    <w:p>
      <w:pPr>
        <w:pStyle w:val="Heading3"/>
        <w:spacing w:after="80" w:before="180"/>
      </w:pPr>
      <w:r>
        <w:rPr>
          <w:rFonts w:ascii="Calibri" w:cs="Calibri" w:eastAsia="Calibri" w:hAnsi="Calibri"/>
          <w:b/>
          <w:bCs/>
          <w:color w:val="2563EB"/>
          <w:sz w:val="22"/>
          <w:szCs w:val="22"/>
        </w:rPr>
        <w:t xml:space="preserve">Bascule vers le Moteur MariaDB / MySQL</w:t>
      </w:r>
    </w:p>
    <w:p>
      <w:pPr>
        <w:spacing w:after="80" w:before="80" w:line="280"/>
      </w:pPr>
      <w:r>
        <w:rPr>
          <w:rFonts w:ascii="Calibri" w:cs="Calibri" w:eastAsia="Calibri" w:hAnsi="Calibri"/>
          <w:color w:val="334155"/>
          <w:sz w:val="22"/>
          <w:szCs w:val="22"/>
        </w:rPr>
        <w:t xml:space="preserve">Pour passer d'un mode SQLite local à une grappe MariaDB d'entreprise, il suffit d'alimenter les variables d'environnement suivantes :</w:t>
      </w:r>
    </w:p>
    <w:p>
      <w:pPr>
        <w:pStyle w:val="ListParagraph"/>
        <w:numPr>
          <w:ilvl w:val="0"/>
          <w:numId w:val="1"/>
        </w:numPr>
        <w:spacing w:after="40" w:before="40" w:line="260"/>
      </w:pPr>
      <w:r>
        <w:rPr>
          <w:rFonts w:ascii="Calibri" w:cs="Calibri" w:eastAsia="Calibri" w:hAnsi="Calibri"/>
          <w:b/>
          <w:bCs/>
          <w:color w:val="0F172A"/>
          <w:sz w:val="22"/>
          <w:szCs w:val="22"/>
        </w:rPr>
        <w:t xml:space="preserve">1. Moteur : </w:t>
      </w:r>
      <w:r>
        <w:rPr>
          <w:rFonts w:ascii="Calibri" w:cs="Calibri" w:eastAsia="Calibri" w:hAnsi="Calibri"/>
          <w:color w:val="334155"/>
          <w:sz w:val="22"/>
          <w:szCs w:val="22"/>
        </w:rPr>
        <w:t xml:space="preserve">DB_ENGINE=mariadb</w:t>
      </w:r>
    </w:p>
    <w:p>
      <w:pPr>
        <w:pStyle w:val="ListParagraph"/>
        <w:numPr>
          <w:ilvl w:val="0"/>
          <w:numId w:val="1"/>
        </w:numPr>
        <w:spacing w:after="40" w:before="40" w:line="260"/>
      </w:pPr>
      <w:r>
        <w:rPr>
          <w:rFonts w:ascii="Calibri" w:cs="Calibri" w:eastAsia="Calibri" w:hAnsi="Calibri"/>
          <w:b/>
          <w:bCs/>
          <w:color w:val="0F172A"/>
          <w:sz w:val="22"/>
          <w:szCs w:val="22"/>
        </w:rPr>
        <w:t xml:space="preserve">2. Identifiants : </w:t>
      </w:r>
      <w:r>
        <w:rPr>
          <w:rFonts w:ascii="Calibri" w:cs="Calibri" w:eastAsia="Calibri" w:hAnsi="Calibri"/>
          <w:color w:val="334155"/>
          <w:sz w:val="22"/>
          <w:szCs w:val="22"/>
        </w:rPr>
        <w:t xml:space="preserve">DB_HOST, DB_PORT, DB_USER, DB_PASSWORD, DB_NAME</w:t>
      </w:r>
    </w:p>
    <w:p>
      <w:pPr>
        <w:pStyle w:val="ListParagraph"/>
        <w:numPr>
          <w:ilvl w:val="0"/>
          <w:numId w:val="1"/>
        </w:numPr>
        <w:spacing w:after="40" w:before="40" w:line="260"/>
      </w:pPr>
      <w:r>
        <w:rPr>
          <w:rFonts w:ascii="Calibri" w:cs="Calibri" w:eastAsia="Calibri" w:hAnsi="Calibri"/>
          <w:b/>
          <w:bCs/>
          <w:color w:val="0F172A"/>
          <w:sz w:val="22"/>
          <w:szCs w:val="22"/>
        </w:rPr>
        <w:t xml:space="preserve">3. Schéma : </w:t>
      </w:r>
      <w:r>
        <w:rPr>
          <w:rFonts w:ascii="Calibri" w:cs="Calibri" w:eastAsia="Calibri" w:hAnsi="Calibri"/>
          <w:color w:val="334155"/>
          <w:sz w:val="22"/>
          <w:szCs w:val="22"/>
        </w:rPr>
        <w:t xml:space="preserve">Le script scripts/init-mariadb.sql initialise automatiquement toutes les tables, index et clés étrangères.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both"/>
    </w:pPr>
    <w:r>
      <w:rPr>
        <w:rFonts w:ascii="Calibri" w:cs="Calibri" w:eastAsia="Calibri" w:hAnsi="Calibri"/>
        <w:color w:val="94A3B8"/>
        <w:sz w:val="18"/>
        <w:szCs w:val="18"/>
      </w:rPr>
      <w:t xml:space="preserve">Confidentiel &amp; Restreint — Conforme Directive NIS 2 / ISO 27001                Page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Workflow Manager — Plateforme Opérationnelle d'Orchestration &amp; Habilitations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2026-09-29T21:06:44.770Z</dcterms:created>
  <dcterms:modified xsi:type="dcterms:W3CDTF">2026-09-29T21:06:44.770Z</dcterms:modified>
</cp:coreProperties>
</file>

<file path=docProps/custom.xml><?xml version="1.0" encoding="utf-8"?>
<Properties xmlns="http://schemas.openxmlformats.org/officeDocument/2006/custom-properties" xmlns:vt="http://schemas.openxmlformats.org/officeDocument/2006/docPropsVTypes"/>
</file>