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Africa,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Loss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revenue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decrease: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revenue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illicit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taxed.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hinderseconomic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diverted,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undermining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bribery: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bribery,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undermining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constitutional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Diversion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Efforts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combat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priorities,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budgeting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illicit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development(socially,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academically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decreased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destabilizing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cohesion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challenges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concerns: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illicit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concerns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threats: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threats,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terrorist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organizations.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instability,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illicit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across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borders.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241</Words>
  <Characters>1488</Characters>
  <Application>WPS Office</Application>
  <Paragraphs>11</Paragraphs>
  <CharactersWithSpaces>1722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2025-04-12T20:41:34Z</dcterms:created>
  <dc:creator>itel P665L</dc:creator>
  <lastModifiedBy>itel P665L</lastModifiedBy>
  <dcterms:modified xsi:type="dcterms:W3CDTF">2025-04-12T20:42:28Z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cf189e3431974541b545beb7e729b841</vt:lpwstr>
  </property>
</Properties>
</file>