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</w:pPr>
      <w:bookmarkStart w:id="0" w:name="_GoBack"/>
      <w:bookmarkEnd w:id="0"/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 8</w:t>
      </w:r>
    </w:p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TOPIC: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FINANCING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200" w:lineRule="auto" w:line="276"/>
              <w:ind w:left="720" w:firstLine="720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     </w:t>
            </w: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266950" cy="130492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66950" cy="13049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act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acquisition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capital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culture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deals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with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demand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supply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fund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order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carry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out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various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projects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field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agriculture.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main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objective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increase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production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Meaning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refers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fundable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loan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granted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enable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him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improve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activities.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also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defined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loan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granted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lending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agencies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purposes.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Types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three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major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classes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credit: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1.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Short term credit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productive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which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borrower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expected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pay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back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within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year.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may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purchase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items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easily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up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with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optimum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output.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Examples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improved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seeds,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fertilizers,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chemicals,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fuel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etc.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2.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Medium-term credit: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type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which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borrower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expected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pay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back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within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period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two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years.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purchase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items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turned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around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within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time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frame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yield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high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profit.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Examples,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purchase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light-duty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machine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simple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implement,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breeding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livestock,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building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housing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units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livestock,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erecting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structures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etc.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3.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Long term credit: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productive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which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repayable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within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period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twenty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years.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attracts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highest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amount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money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compared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short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medium-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term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purchase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costly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fixed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assets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such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buildings,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land,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heavy-duty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machines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etc.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aps/>
                <w:smallCap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aps/>
                <w:smallCap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Importance of agricultural credit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1.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enables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acquire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necessary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modern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inputs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improve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increase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efficiencies.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2.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helps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maintain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large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area.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3.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enables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acquire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storage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processing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facilities.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4.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improves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standard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5.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helps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take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prevailing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condition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such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pest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disease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control.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6.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helps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insure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against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hazards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surrounding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farming.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Meaning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subsidy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non-refundable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aid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granted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enable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encourage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production.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also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refers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discount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given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agencies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usually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government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agencies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course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purchasing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inputs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such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chemicals,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fertilizers,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improved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seeds.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Meaning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Interest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200" w:lineRule="auto" w:line="276"/>
              <w:jc w:val="left"/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amount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paid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borrowed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capital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amount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earned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above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goods.</w:t>
            </w:r>
          </w:p>
        </w:tc>
      </w:tr>
    </w:tbl>
    <w:p>
      <w:pPr>
        <w:pStyle w:val="style0"/>
        <w:spacing w:after="200" w:lineRule="auto" w:line="276"/>
        <w:jc w:val="left"/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spacing w:after="160" w:lineRule="auto" w:line="259"/>
        <w:jc w:val="center"/>
        <w:rPr/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 9</w:t>
      </w:r>
    </w:p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TOPIC: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FINANCING CONTD.</w:t>
            </w:r>
          </w:p>
          <w:p>
            <w:pPr>
              <w:spacing w:after="200" w:lineRule="auto" w:line="276"/>
              <w:ind w:left="720" w:firstLine="72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     </w:t>
            </w: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266950" cy="1304925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66950" cy="13049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FINANCING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(CONT.)</w:t>
            </w:r>
          </w:p>
          <w:p>
            <w:pPr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u w:val="single"/>
                <w:vertAlign w:val="baseline"/>
                <w:em w:val="none"/>
                <w:lang w:val="en-US" w:eastAsia="zh-CN"/>
              </w:rPr>
              <w:t>Sources of Agricultural financing or farm credits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1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.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banks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Example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Nigerian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Co-operative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Bank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(NACB)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established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solely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grant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loans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potential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farmers.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2.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Commercial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bank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Have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departments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take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loans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given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Example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such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banks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United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Bank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Africa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(UBA),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Union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Bank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PLC,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Wema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Bank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PLC,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etc.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3.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Cooperative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society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Members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pool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resources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together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whoever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interested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getting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loans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obtain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from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society.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4.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thrift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society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Members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contribute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money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which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business.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5.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Self-financing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Money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saved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individual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business.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6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.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Individuals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Money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borrowed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from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friends,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relatives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etc.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agricultural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business.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7.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Moneylenders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People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who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lend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money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enable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produce.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charge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high-interest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rate.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8.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Government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agencies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government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department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government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establishment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ministries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responsible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granting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credit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potential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farmers.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9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.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non-governmental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organization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bodies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set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up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by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individuals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group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people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with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aim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rendering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services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financial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assistance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zh-CN"/>
              </w:rPr>
              <w:t>farmers.</w:t>
            </w:r>
          </w:p>
          <w:p>
            <w:p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686050" cy="169545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86050" cy="16954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  </w:t>
            </w: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895600" cy="1581150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95600" cy="15811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raditional Arab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  <w:jc w:val="both"/>
    </w:pPr>
    <w:rPr>
      <w:rFonts w:ascii="Times New Roman" w:cs="Times New Roman" w:eastAsia="宋体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612</Words>
  <Characters>3215</Characters>
  <Application>WPS Office</Application>
  <Paragraphs>47</Paragraphs>
  <CharactersWithSpaces>3813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2025-06-25T15:49:26Z</dcterms:created>
  <dc:creator>itel S663L</dc:creator>
  <lastModifiedBy>itel S663L</lastModifiedBy>
  <dcterms:modified xsi:type="dcterms:W3CDTF">2025-06-25T16:03:31Z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5ed44f3a59b74a149fecd3141dbc2c72</vt:lpwstr>
  </property>
</Properties>
</file>